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023A8" w14:textId="77777777" w:rsidR="007846B3" w:rsidRDefault="007846B3" w:rsidP="007846B3">
      <w:pPr>
        <w:spacing w:after="0"/>
        <w:rPr>
          <w:rFonts w:ascii="Twinkl Cursive Looped" w:hAnsi="Twinkl Cursive Looped" w:cs="Arial"/>
          <w:sz w:val="40"/>
        </w:rPr>
      </w:pPr>
    </w:p>
    <w:p w14:paraId="47DA1EA5" w14:textId="2C3505E9" w:rsidR="007846B3" w:rsidRDefault="007846B3" w:rsidP="007846B3">
      <w:pPr>
        <w:spacing w:after="0"/>
        <w:rPr>
          <w:rFonts w:ascii="Twinkl Cursive Looped" w:hAnsi="Twinkl Cursive Looped" w:cs="Arial"/>
          <w:sz w:val="40"/>
        </w:rPr>
      </w:pPr>
      <w:r>
        <w:rPr>
          <w:rFonts w:ascii="Twinkl Cursive Looped" w:hAnsi="Twinkl Cursive Looped" w:cs="Arial"/>
          <w:noProof/>
          <w:lang w:eastAsia="en-GB"/>
        </w:rPr>
        <w:drawing>
          <wp:anchor distT="0" distB="0" distL="114300" distR="114300" simplePos="0" relativeHeight="251659776" behindDoc="0" locked="0" layoutInCell="1" allowOverlap="1" wp14:anchorId="753B0BD1" wp14:editId="51C6D182">
            <wp:simplePos x="0" y="0"/>
            <wp:positionH relativeFrom="margin">
              <wp:align>center</wp:align>
            </wp:positionH>
            <wp:positionV relativeFrom="paragraph">
              <wp:posOffset>158750</wp:posOffset>
            </wp:positionV>
            <wp:extent cx="3426460" cy="3276600"/>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tleyParish_Star (640x612).jpg"/>
                    <pic:cNvPicPr/>
                  </pic:nvPicPr>
                  <pic:blipFill>
                    <a:blip r:embed="rId11">
                      <a:extLst>
                        <a:ext uri="{28A0092B-C50C-407E-A947-70E740481C1C}">
                          <a14:useLocalDpi xmlns:a14="http://schemas.microsoft.com/office/drawing/2010/main" val="0"/>
                        </a:ext>
                      </a:extLst>
                    </a:blip>
                    <a:stretch>
                      <a:fillRect/>
                    </a:stretch>
                  </pic:blipFill>
                  <pic:spPr>
                    <a:xfrm>
                      <a:off x="0" y="0"/>
                      <a:ext cx="3426460" cy="3276600"/>
                    </a:xfrm>
                    <a:prstGeom prst="rect">
                      <a:avLst/>
                    </a:prstGeom>
                  </pic:spPr>
                </pic:pic>
              </a:graphicData>
            </a:graphic>
          </wp:anchor>
        </w:drawing>
      </w:r>
    </w:p>
    <w:p w14:paraId="5E6FB1D2" w14:textId="357E8A5A" w:rsidR="007846B3" w:rsidRDefault="007846B3" w:rsidP="007846B3">
      <w:pPr>
        <w:spacing w:after="0"/>
        <w:rPr>
          <w:rFonts w:ascii="Twinkl Cursive Looped" w:hAnsi="Twinkl Cursive Looped" w:cs="Arial"/>
          <w:sz w:val="40"/>
        </w:rPr>
      </w:pPr>
    </w:p>
    <w:p w14:paraId="3AB90F83" w14:textId="1E037C85" w:rsidR="007846B3" w:rsidRDefault="007846B3" w:rsidP="007846B3">
      <w:pPr>
        <w:spacing w:after="0"/>
        <w:rPr>
          <w:rFonts w:ascii="Twinkl Cursive Looped" w:hAnsi="Twinkl Cursive Looped" w:cs="Arial"/>
          <w:sz w:val="40"/>
        </w:rPr>
      </w:pPr>
    </w:p>
    <w:p w14:paraId="332D1369" w14:textId="16112E97" w:rsidR="007846B3" w:rsidRDefault="007846B3" w:rsidP="007846B3">
      <w:pPr>
        <w:spacing w:after="0"/>
        <w:rPr>
          <w:rFonts w:ascii="Twinkl Cursive Looped" w:hAnsi="Twinkl Cursive Looped" w:cs="Arial"/>
          <w:sz w:val="40"/>
        </w:rPr>
      </w:pPr>
    </w:p>
    <w:p w14:paraId="55A79B03" w14:textId="77777777" w:rsidR="007846B3" w:rsidRDefault="007846B3" w:rsidP="007846B3">
      <w:pPr>
        <w:spacing w:after="0"/>
        <w:rPr>
          <w:rFonts w:ascii="Twinkl Cursive Looped" w:hAnsi="Twinkl Cursive Looped" w:cs="Arial"/>
          <w:sz w:val="40"/>
        </w:rPr>
      </w:pPr>
    </w:p>
    <w:p w14:paraId="0A5D9642" w14:textId="77777777" w:rsidR="007846B3" w:rsidRDefault="007846B3" w:rsidP="007846B3">
      <w:pPr>
        <w:spacing w:after="0"/>
        <w:rPr>
          <w:rFonts w:ascii="Twinkl Cursive Looped" w:hAnsi="Twinkl Cursive Looped" w:cs="Arial"/>
          <w:sz w:val="40"/>
        </w:rPr>
      </w:pPr>
    </w:p>
    <w:p w14:paraId="734345CF" w14:textId="77777777" w:rsidR="007846B3" w:rsidRDefault="007846B3" w:rsidP="007846B3">
      <w:pPr>
        <w:spacing w:after="0"/>
        <w:rPr>
          <w:rFonts w:ascii="Twinkl Cursive Looped" w:hAnsi="Twinkl Cursive Looped" w:cs="Arial"/>
          <w:sz w:val="40"/>
        </w:rPr>
      </w:pPr>
    </w:p>
    <w:p w14:paraId="24E29E77" w14:textId="77777777" w:rsidR="007846B3" w:rsidRDefault="007846B3" w:rsidP="007846B3">
      <w:pPr>
        <w:spacing w:after="0"/>
        <w:rPr>
          <w:rFonts w:ascii="Twinkl Cursive Looped" w:hAnsi="Twinkl Cursive Looped" w:cs="Arial"/>
          <w:sz w:val="40"/>
        </w:rPr>
      </w:pPr>
    </w:p>
    <w:p w14:paraId="24FA9C4E" w14:textId="77777777" w:rsidR="007846B3" w:rsidRDefault="007846B3" w:rsidP="007846B3">
      <w:pPr>
        <w:spacing w:after="0"/>
        <w:rPr>
          <w:rFonts w:ascii="Twinkl Cursive Looped" w:hAnsi="Twinkl Cursive Looped" w:cs="Arial"/>
          <w:sz w:val="40"/>
        </w:rPr>
      </w:pPr>
    </w:p>
    <w:p w14:paraId="07FA3E94" w14:textId="77777777" w:rsidR="007846B3" w:rsidRDefault="007846B3" w:rsidP="007846B3">
      <w:pPr>
        <w:spacing w:after="0"/>
        <w:rPr>
          <w:rFonts w:ascii="Twinkl Cursive Looped" w:hAnsi="Twinkl Cursive Looped" w:cs="Arial"/>
          <w:sz w:val="40"/>
        </w:rPr>
      </w:pPr>
    </w:p>
    <w:p w14:paraId="67E75886" w14:textId="77777777" w:rsidR="007846B3" w:rsidRDefault="007846B3" w:rsidP="007846B3">
      <w:pPr>
        <w:spacing w:after="0"/>
        <w:rPr>
          <w:rFonts w:ascii="Twinkl Cursive Looped" w:hAnsi="Twinkl Cursive Looped" w:cs="Arial"/>
          <w:sz w:val="40"/>
        </w:rPr>
      </w:pPr>
    </w:p>
    <w:p w14:paraId="643AB4A3" w14:textId="77777777" w:rsidR="007846B3" w:rsidRDefault="007846B3" w:rsidP="007846B3">
      <w:pPr>
        <w:spacing w:after="0"/>
        <w:rPr>
          <w:rFonts w:ascii="Twinkl Cursive Looped" w:hAnsi="Twinkl Cursive Looped" w:cs="Arial"/>
          <w:sz w:val="40"/>
        </w:rPr>
      </w:pPr>
    </w:p>
    <w:p w14:paraId="284B0311" w14:textId="77777777" w:rsidR="007846B3" w:rsidRDefault="007846B3" w:rsidP="007846B3">
      <w:pPr>
        <w:spacing w:after="0"/>
        <w:jc w:val="center"/>
        <w:rPr>
          <w:rFonts w:ascii="Twinkl Cursive Looped" w:hAnsi="Twinkl Cursive Looped" w:cs="Arial"/>
          <w:sz w:val="40"/>
        </w:rPr>
      </w:pPr>
    </w:p>
    <w:p w14:paraId="661E4E7B" w14:textId="0930982F" w:rsidR="007846B3" w:rsidRPr="00DA3826" w:rsidRDefault="007846B3" w:rsidP="007846B3">
      <w:pPr>
        <w:spacing w:after="0"/>
        <w:jc w:val="center"/>
        <w:rPr>
          <w:rFonts w:ascii="Twinkl Cursive Looped" w:hAnsi="Twinkl Cursive Looped" w:cs="Arial"/>
          <w:sz w:val="40"/>
        </w:rPr>
      </w:pPr>
      <w:r w:rsidRPr="00DA3826">
        <w:rPr>
          <w:rFonts w:ascii="Twinkl Cursive Looped" w:hAnsi="Twinkl Cursive Looped" w:cs="Arial"/>
          <w:sz w:val="40"/>
        </w:rPr>
        <w:t xml:space="preserve">Batley Parish CE </w:t>
      </w:r>
      <w:r>
        <w:rPr>
          <w:rFonts w:ascii="Twinkl Cursive Looped" w:hAnsi="Twinkl Cursive Looped" w:cs="Arial"/>
          <w:sz w:val="40"/>
        </w:rPr>
        <w:t>Primary Academy</w:t>
      </w:r>
    </w:p>
    <w:p w14:paraId="33B5A75D" w14:textId="77777777" w:rsidR="007846B3" w:rsidRDefault="007846B3" w:rsidP="007846B3">
      <w:pPr>
        <w:spacing w:after="0"/>
        <w:jc w:val="center"/>
        <w:rPr>
          <w:rFonts w:ascii="Twinkl Cursive Looped" w:hAnsi="Twinkl Cursive Looped" w:cs="Arial"/>
        </w:rPr>
      </w:pPr>
    </w:p>
    <w:p w14:paraId="5AE27D17" w14:textId="77777777" w:rsidR="007846B3" w:rsidRPr="00DA3826" w:rsidRDefault="007846B3" w:rsidP="007846B3">
      <w:pPr>
        <w:spacing w:after="0"/>
        <w:jc w:val="center"/>
        <w:rPr>
          <w:rFonts w:ascii="Twinkl Cursive Looped" w:hAnsi="Twinkl Cursive Looped" w:cs="Arial"/>
        </w:rPr>
      </w:pPr>
    </w:p>
    <w:p w14:paraId="3DE5C12F" w14:textId="1E7D14D6" w:rsidR="007846B3" w:rsidRDefault="007846B3" w:rsidP="007846B3">
      <w:pPr>
        <w:spacing w:after="0"/>
        <w:jc w:val="center"/>
        <w:rPr>
          <w:rFonts w:ascii="Twinkl Cursive Looped" w:hAnsi="Twinkl Cursive Looped" w:cs="Arial"/>
          <w:sz w:val="52"/>
        </w:rPr>
      </w:pPr>
      <w:r>
        <w:rPr>
          <w:rFonts w:ascii="Twinkl Cursive Looped" w:hAnsi="Twinkl Cursive Looped" w:cs="Arial"/>
          <w:sz w:val="52"/>
        </w:rPr>
        <w:t>PSHE Policy</w:t>
      </w:r>
    </w:p>
    <w:p w14:paraId="3230FC25" w14:textId="77777777" w:rsidR="007846B3" w:rsidRDefault="007846B3" w:rsidP="007846B3">
      <w:pPr>
        <w:spacing w:after="0"/>
        <w:jc w:val="center"/>
        <w:rPr>
          <w:rFonts w:ascii="Twinkl Cursive Looped" w:hAnsi="Twinkl Cursive Looped" w:cs="Arial"/>
        </w:rPr>
      </w:pPr>
    </w:p>
    <w:p w14:paraId="1C45E9A4" w14:textId="77777777" w:rsidR="007846B3" w:rsidRPr="0070087E" w:rsidRDefault="007846B3" w:rsidP="007846B3">
      <w:pPr>
        <w:spacing w:after="0"/>
        <w:jc w:val="center"/>
        <w:rPr>
          <w:rFonts w:ascii="Twinkl Cursive Looped" w:hAnsi="Twinkl Cursive Looped" w:cs="Arial"/>
        </w:rPr>
      </w:pPr>
    </w:p>
    <w:p w14:paraId="4120F605" w14:textId="0C02BF00" w:rsidR="007846B3" w:rsidRDefault="007846B3" w:rsidP="007846B3">
      <w:pPr>
        <w:spacing w:after="0"/>
        <w:jc w:val="center"/>
        <w:rPr>
          <w:rFonts w:ascii="Twinkl Cursive Looped" w:hAnsi="Twinkl Cursive Looped" w:cs="Arial"/>
          <w:sz w:val="40"/>
        </w:rPr>
      </w:pPr>
      <w:r>
        <w:rPr>
          <w:rFonts w:ascii="Twinkl Cursive Looped" w:hAnsi="Twinkl Cursive Looped" w:cs="Arial"/>
          <w:sz w:val="40"/>
        </w:rPr>
        <w:t>June</w:t>
      </w:r>
      <w:r>
        <w:rPr>
          <w:rFonts w:ascii="Twinkl Cursive Looped" w:hAnsi="Twinkl Cursive Looped" w:cs="Arial"/>
          <w:sz w:val="40"/>
        </w:rPr>
        <w:t xml:space="preserve"> 2025</w:t>
      </w:r>
    </w:p>
    <w:p w14:paraId="28BA9208" w14:textId="47BAD8DC" w:rsidR="007846B3" w:rsidRDefault="007846B3">
      <w:pPr>
        <w:spacing w:after="0"/>
        <w:rPr>
          <w:rFonts w:cs="Arial"/>
          <w:b/>
          <w:sz w:val="28"/>
          <w:szCs w:val="28"/>
        </w:rPr>
      </w:pPr>
      <w:r>
        <w:rPr>
          <w:rFonts w:cs="Arial"/>
          <w:b/>
          <w:sz w:val="28"/>
          <w:szCs w:val="28"/>
        </w:rPr>
        <w:br w:type="page"/>
      </w:r>
    </w:p>
    <w:p w14:paraId="75BE3A2C" w14:textId="61944469" w:rsidR="00F50650" w:rsidRPr="0072620F" w:rsidRDefault="007846B3" w:rsidP="007846B3">
      <w:pPr>
        <w:spacing w:after="0"/>
        <w:rPr>
          <w:rFonts w:cs="Arial"/>
          <w:b/>
          <w:sz w:val="28"/>
          <w:szCs w:val="28"/>
        </w:rPr>
      </w:pPr>
      <w:r>
        <w:rPr>
          <w:noProof/>
          <w:lang w:eastAsia="en-GB"/>
        </w:rPr>
        <w:lastRenderedPageBreak/>
        <w:drawing>
          <wp:anchor distT="0" distB="0" distL="114300" distR="114300" simplePos="0" relativeHeight="251661824" behindDoc="0" locked="0" layoutInCell="1" allowOverlap="1" wp14:anchorId="47B611D9" wp14:editId="64B54C79">
            <wp:simplePos x="0" y="0"/>
            <wp:positionH relativeFrom="margin">
              <wp:align>left</wp:align>
            </wp:positionH>
            <wp:positionV relativeFrom="paragraph">
              <wp:posOffset>0</wp:posOffset>
            </wp:positionV>
            <wp:extent cx="6260917" cy="8791575"/>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60917" cy="8791575"/>
                    </a:xfrm>
                    <a:prstGeom prst="rect">
                      <a:avLst/>
                    </a:prstGeom>
                    <a:noFill/>
                    <a:ln>
                      <a:noFill/>
                    </a:ln>
                  </pic:spPr>
                </pic:pic>
              </a:graphicData>
            </a:graphic>
          </wp:anchor>
        </w:drawing>
      </w:r>
      <w:proofErr w:type="spellStart"/>
      <w:r w:rsidR="0069454D">
        <w:rPr>
          <w:rFonts w:cs="Arial"/>
          <w:b/>
          <w:sz w:val="28"/>
          <w:szCs w:val="28"/>
        </w:rPr>
        <w:t>o</w:t>
      </w:r>
      <w:r w:rsidR="00F50650" w:rsidRPr="0072620F">
        <w:rPr>
          <w:rFonts w:cs="Arial"/>
          <w:b/>
          <w:sz w:val="28"/>
          <w:szCs w:val="28"/>
        </w:rPr>
        <w:t>ntents</w:t>
      </w:r>
      <w:proofErr w:type="spellEnd"/>
    </w:p>
    <w:p w14:paraId="1DCAAE76" w14:textId="77777777" w:rsidR="00F50650" w:rsidRPr="004A7145" w:rsidRDefault="00F50650" w:rsidP="00F50650">
      <w:pPr>
        <w:pStyle w:val="TOC1"/>
        <w:tabs>
          <w:tab w:val="right" w:leader="dot" w:pos="9010"/>
        </w:tabs>
        <w:rPr>
          <w:rFonts w:ascii="Calibri" w:eastAsia="Times New Roman" w:hAnsi="Calibri"/>
          <w:noProof/>
          <w:sz w:val="22"/>
          <w:szCs w:val="22"/>
          <w:lang w:val="en-GB" w:eastAsia="en-GB"/>
        </w:rPr>
      </w:pPr>
      <w:r>
        <w:rPr>
          <w:rFonts w:cs="Arial"/>
          <w:bCs/>
          <w:noProof/>
          <w:szCs w:val="20"/>
        </w:rPr>
        <w:lastRenderedPageBreak/>
        <w:fldChar w:fldCharType="begin"/>
      </w:r>
      <w:r>
        <w:rPr>
          <w:rFonts w:cs="Arial"/>
          <w:bCs/>
          <w:noProof/>
          <w:szCs w:val="20"/>
        </w:rPr>
        <w:instrText xml:space="preserve"> TOC \o "1-1" \h \z \u \t "Heading 3,2" </w:instrText>
      </w:r>
      <w:r>
        <w:rPr>
          <w:rFonts w:cs="Arial"/>
          <w:bCs/>
          <w:noProof/>
          <w:szCs w:val="20"/>
        </w:rPr>
        <w:fldChar w:fldCharType="separate"/>
      </w:r>
      <w:hyperlink w:anchor="_Toc91163056" w:history="1">
        <w:r w:rsidRPr="00466168">
          <w:rPr>
            <w:rStyle w:val="Hyperlink"/>
            <w:noProof/>
          </w:rPr>
          <w:t>1. Aims</w:t>
        </w:r>
        <w:r>
          <w:rPr>
            <w:noProof/>
            <w:webHidden/>
          </w:rPr>
          <w:tab/>
        </w:r>
        <w:r>
          <w:rPr>
            <w:noProof/>
            <w:webHidden/>
          </w:rPr>
          <w:fldChar w:fldCharType="begin"/>
        </w:r>
        <w:r>
          <w:rPr>
            <w:noProof/>
            <w:webHidden/>
          </w:rPr>
          <w:instrText xml:space="preserve"> PAGEREF _Toc91163056 \h </w:instrText>
        </w:r>
        <w:r>
          <w:rPr>
            <w:noProof/>
            <w:webHidden/>
          </w:rPr>
        </w:r>
        <w:r>
          <w:rPr>
            <w:noProof/>
            <w:webHidden/>
          </w:rPr>
          <w:fldChar w:fldCharType="separate"/>
        </w:r>
        <w:r>
          <w:rPr>
            <w:noProof/>
            <w:webHidden/>
          </w:rPr>
          <w:t>3</w:t>
        </w:r>
        <w:r>
          <w:rPr>
            <w:noProof/>
            <w:webHidden/>
          </w:rPr>
          <w:fldChar w:fldCharType="end"/>
        </w:r>
      </w:hyperlink>
    </w:p>
    <w:p w14:paraId="03939DBE" w14:textId="77777777" w:rsidR="00F50650" w:rsidRPr="004A7145" w:rsidRDefault="00D24D6A" w:rsidP="00F50650">
      <w:pPr>
        <w:pStyle w:val="TOC1"/>
        <w:tabs>
          <w:tab w:val="right" w:leader="dot" w:pos="9010"/>
        </w:tabs>
        <w:rPr>
          <w:rFonts w:ascii="Calibri" w:eastAsia="Times New Roman" w:hAnsi="Calibri"/>
          <w:noProof/>
          <w:sz w:val="22"/>
          <w:szCs w:val="22"/>
          <w:lang w:val="en-GB" w:eastAsia="en-GB"/>
        </w:rPr>
      </w:pPr>
      <w:hyperlink w:anchor="_Toc91163057" w:history="1">
        <w:r w:rsidR="00F50650" w:rsidRPr="00466168">
          <w:rPr>
            <w:rStyle w:val="Hyperlink"/>
            <w:noProof/>
          </w:rPr>
          <w:t>2. Statutory requirements</w:t>
        </w:r>
        <w:r w:rsidR="00F50650">
          <w:rPr>
            <w:noProof/>
            <w:webHidden/>
          </w:rPr>
          <w:tab/>
        </w:r>
        <w:r w:rsidR="00F50650">
          <w:rPr>
            <w:noProof/>
            <w:webHidden/>
          </w:rPr>
          <w:fldChar w:fldCharType="begin"/>
        </w:r>
        <w:r w:rsidR="00F50650">
          <w:rPr>
            <w:noProof/>
            <w:webHidden/>
          </w:rPr>
          <w:instrText xml:space="preserve"> PAGEREF _Toc91163057 \h </w:instrText>
        </w:r>
        <w:r w:rsidR="00F50650">
          <w:rPr>
            <w:noProof/>
            <w:webHidden/>
          </w:rPr>
        </w:r>
        <w:r w:rsidR="00F50650">
          <w:rPr>
            <w:noProof/>
            <w:webHidden/>
          </w:rPr>
          <w:fldChar w:fldCharType="separate"/>
        </w:r>
        <w:r w:rsidR="00F50650">
          <w:rPr>
            <w:noProof/>
            <w:webHidden/>
          </w:rPr>
          <w:t>3</w:t>
        </w:r>
        <w:r w:rsidR="00F50650">
          <w:rPr>
            <w:noProof/>
            <w:webHidden/>
          </w:rPr>
          <w:fldChar w:fldCharType="end"/>
        </w:r>
      </w:hyperlink>
    </w:p>
    <w:p w14:paraId="51173054" w14:textId="77777777" w:rsidR="00F50650" w:rsidRPr="004A7145" w:rsidRDefault="00D24D6A" w:rsidP="00F50650">
      <w:pPr>
        <w:pStyle w:val="TOC1"/>
        <w:tabs>
          <w:tab w:val="right" w:leader="dot" w:pos="9010"/>
        </w:tabs>
        <w:rPr>
          <w:rFonts w:ascii="Calibri" w:eastAsia="Times New Roman" w:hAnsi="Calibri"/>
          <w:noProof/>
          <w:sz w:val="22"/>
          <w:szCs w:val="22"/>
          <w:lang w:val="en-GB" w:eastAsia="en-GB"/>
        </w:rPr>
      </w:pPr>
      <w:hyperlink w:anchor="_Toc91163058" w:history="1">
        <w:r w:rsidR="00F50650" w:rsidRPr="00466168">
          <w:rPr>
            <w:rStyle w:val="Hyperlink"/>
            <w:noProof/>
          </w:rPr>
          <w:t>3. Content and delivery</w:t>
        </w:r>
        <w:r w:rsidR="00F50650">
          <w:rPr>
            <w:noProof/>
            <w:webHidden/>
          </w:rPr>
          <w:tab/>
        </w:r>
        <w:r w:rsidR="00F50650">
          <w:rPr>
            <w:noProof/>
            <w:webHidden/>
          </w:rPr>
          <w:fldChar w:fldCharType="begin"/>
        </w:r>
        <w:r w:rsidR="00F50650">
          <w:rPr>
            <w:noProof/>
            <w:webHidden/>
          </w:rPr>
          <w:instrText xml:space="preserve"> PAGEREF _Toc91163058 \h </w:instrText>
        </w:r>
        <w:r w:rsidR="00F50650">
          <w:rPr>
            <w:noProof/>
            <w:webHidden/>
          </w:rPr>
        </w:r>
        <w:r w:rsidR="00F50650">
          <w:rPr>
            <w:noProof/>
            <w:webHidden/>
          </w:rPr>
          <w:fldChar w:fldCharType="separate"/>
        </w:r>
        <w:r w:rsidR="00F50650">
          <w:rPr>
            <w:noProof/>
            <w:webHidden/>
          </w:rPr>
          <w:t>3</w:t>
        </w:r>
        <w:r w:rsidR="00F50650">
          <w:rPr>
            <w:noProof/>
            <w:webHidden/>
          </w:rPr>
          <w:fldChar w:fldCharType="end"/>
        </w:r>
      </w:hyperlink>
    </w:p>
    <w:p w14:paraId="01A5EA19" w14:textId="77777777" w:rsidR="00F50650" w:rsidRPr="004A7145" w:rsidRDefault="00D24D6A" w:rsidP="00F50650">
      <w:pPr>
        <w:pStyle w:val="TOC1"/>
        <w:tabs>
          <w:tab w:val="right" w:leader="dot" w:pos="9010"/>
        </w:tabs>
        <w:rPr>
          <w:rFonts w:ascii="Calibri" w:eastAsia="Times New Roman" w:hAnsi="Calibri"/>
          <w:noProof/>
          <w:sz w:val="22"/>
          <w:szCs w:val="22"/>
          <w:lang w:val="en-GB" w:eastAsia="en-GB"/>
        </w:rPr>
      </w:pPr>
      <w:hyperlink w:anchor="_Toc91163059" w:history="1">
        <w:r w:rsidR="00F50650" w:rsidRPr="00466168">
          <w:rPr>
            <w:rStyle w:val="Hyperlink"/>
            <w:noProof/>
          </w:rPr>
          <w:t>4. Roles and responsibilities</w:t>
        </w:r>
        <w:r w:rsidR="00F50650">
          <w:rPr>
            <w:noProof/>
            <w:webHidden/>
          </w:rPr>
          <w:tab/>
        </w:r>
        <w:r w:rsidR="00F50650">
          <w:rPr>
            <w:noProof/>
            <w:webHidden/>
          </w:rPr>
          <w:fldChar w:fldCharType="begin"/>
        </w:r>
        <w:r w:rsidR="00F50650">
          <w:rPr>
            <w:noProof/>
            <w:webHidden/>
          </w:rPr>
          <w:instrText xml:space="preserve"> PAGEREF _Toc91163059 \h </w:instrText>
        </w:r>
        <w:r w:rsidR="00F50650">
          <w:rPr>
            <w:noProof/>
            <w:webHidden/>
          </w:rPr>
        </w:r>
        <w:r w:rsidR="00F50650">
          <w:rPr>
            <w:noProof/>
            <w:webHidden/>
          </w:rPr>
          <w:fldChar w:fldCharType="separate"/>
        </w:r>
        <w:r w:rsidR="00F50650">
          <w:rPr>
            <w:noProof/>
            <w:webHidden/>
          </w:rPr>
          <w:t>4</w:t>
        </w:r>
        <w:r w:rsidR="00F50650">
          <w:rPr>
            <w:noProof/>
            <w:webHidden/>
          </w:rPr>
          <w:fldChar w:fldCharType="end"/>
        </w:r>
      </w:hyperlink>
    </w:p>
    <w:p w14:paraId="551283EB" w14:textId="77777777" w:rsidR="00F50650" w:rsidRPr="004A7145" w:rsidRDefault="00D24D6A" w:rsidP="00F50650">
      <w:pPr>
        <w:pStyle w:val="TOC1"/>
        <w:tabs>
          <w:tab w:val="right" w:leader="dot" w:pos="9010"/>
        </w:tabs>
        <w:rPr>
          <w:rFonts w:ascii="Calibri" w:eastAsia="Times New Roman" w:hAnsi="Calibri"/>
          <w:noProof/>
          <w:sz w:val="22"/>
          <w:szCs w:val="22"/>
          <w:lang w:val="en-GB" w:eastAsia="en-GB"/>
        </w:rPr>
      </w:pPr>
      <w:hyperlink w:anchor="_Toc91163060" w:history="1">
        <w:r w:rsidR="00F50650" w:rsidRPr="00466168">
          <w:rPr>
            <w:rStyle w:val="Hyperlink"/>
            <w:noProof/>
          </w:rPr>
          <w:t>5. Monitoring arrangements</w:t>
        </w:r>
        <w:r w:rsidR="00F50650">
          <w:rPr>
            <w:noProof/>
            <w:webHidden/>
          </w:rPr>
          <w:tab/>
        </w:r>
        <w:r w:rsidR="00F50650">
          <w:rPr>
            <w:noProof/>
            <w:webHidden/>
          </w:rPr>
          <w:fldChar w:fldCharType="begin"/>
        </w:r>
        <w:r w:rsidR="00F50650">
          <w:rPr>
            <w:noProof/>
            <w:webHidden/>
          </w:rPr>
          <w:instrText xml:space="preserve"> PAGEREF _Toc91163060 \h </w:instrText>
        </w:r>
        <w:r w:rsidR="00F50650">
          <w:rPr>
            <w:noProof/>
            <w:webHidden/>
          </w:rPr>
        </w:r>
        <w:r w:rsidR="00F50650">
          <w:rPr>
            <w:noProof/>
            <w:webHidden/>
          </w:rPr>
          <w:fldChar w:fldCharType="separate"/>
        </w:r>
        <w:r w:rsidR="00F50650">
          <w:rPr>
            <w:noProof/>
            <w:webHidden/>
          </w:rPr>
          <w:t>4</w:t>
        </w:r>
        <w:r w:rsidR="00F50650">
          <w:rPr>
            <w:noProof/>
            <w:webHidden/>
          </w:rPr>
          <w:fldChar w:fldCharType="end"/>
        </w:r>
      </w:hyperlink>
    </w:p>
    <w:p w14:paraId="425BA91C" w14:textId="77777777" w:rsidR="00F50650" w:rsidRPr="004A7145" w:rsidRDefault="00D24D6A" w:rsidP="00F50650">
      <w:pPr>
        <w:pStyle w:val="TOC1"/>
        <w:tabs>
          <w:tab w:val="right" w:leader="dot" w:pos="9010"/>
        </w:tabs>
        <w:rPr>
          <w:rFonts w:ascii="Calibri" w:eastAsia="Times New Roman" w:hAnsi="Calibri"/>
          <w:noProof/>
          <w:sz w:val="22"/>
          <w:szCs w:val="22"/>
          <w:lang w:val="en-GB" w:eastAsia="en-GB"/>
        </w:rPr>
      </w:pPr>
      <w:hyperlink w:anchor="_Toc91163061" w:history="1">
        <w:r w:rsidR="00F50650" w:rsidRPr="00466168">
          <w:rPr>
            <w:rStyle w:val="Hyperlink"/>
            <w:noProof/>
          </w:rPr>
          <w:t>6. Links with other policies</w:t>
        </w:r>
        <w:r w:rsidR="00F50650">
          <w:rPr>
            <w:noProof/>
            <w:webHidden/>
          </w:rPr>
          <w:tab/>
        </w:r>
        <w:r w:rsidR="00F50650">
          <w:rPr>
            <w:noProof/>
            <w:webHidden/>
          </w:rPr>
          <w:fldChar w:fldCharType="begin"/>
        </w:r>
        <w:r w:rsidR="00F50650">
          <w:rPr>
            <w:noProof/>
            <w:webHidden/>
          </w:rPr>
          <w:instrText xml:space="preserve"> PAGEREF _Toc91163061 \h </w:instrText>
        </w:r>
        <w:r w:rsidR="00F50650">
          <w:rPr>
            <w:noProof/>
            <w:webHidden/>
          </w:rPr>
        </w:r>
        <w:r w:rsidR="00F50650">
          <w:rPr>
            <w:noProof/>
            <w:webHidden/>
          </w:rPr>
          <w:fldChar w:fldCharType="separate"/>
        </w:r>
        <w:r w:rsidR="00F50650">
          <w:rPr>
            <w:noProof/>
            <w:webHidden/>
          </w:rPr>
          <w:t>5</w:t>
        </w:r>
        <w:r w:rsidR="00F50650">
          <w:rPr>
            <w:noProof/>
            <w:webHidden/>
          </w:rPr>
          <w:fldChar w:fldCharType="end"/>
        </w:r>
      </w:hyperlink>
    </w:p>
    <w:p w14:paraId="51737B33" w14:textId="77777777" w:rsidR="00F50650" w:rsidRDefault="00F50650" w:rsidP="00F50650">
      <w:pPr>
        <w:rPr>
          <w:b/>
          <w:bCs/>
          <w:noProof/>
        </w:rPr>
      </w:pPr>
      <w:r>
        <w:rPr>
          <w:rFonts w:cs="Arial"/>
          <w:bCs/>
          <w:noProof/>
          <w:szCs w:val="20"/>
        </w:rPr>
        <w:fldChar w:fldCharType="end"/>
      </w:r>
    </w:p>
    <w:p w14:paraId="564A402C" w14:textId="77777777" w:rsidR="00F50650" w:rsidRPr="009122BB" w:rsidRDefault="00C1111A" w:rsidP="00F50650">
      <w:pPr>
        <w:rPr>
          <w:rFonts w:cs="Arial"/>
          <w:b/>
          <w:bCs/>
          <w:noProof/>
          <w:szCs w:val="20"/>
        </w:rPr>
      </w:pPr>
      <w:r>
        <w:rPr>
          <w:noProof/>
          <w:lang w:val="en-GB" w:eastAsia="en-GB"/>
        </w:rPr>
        <mc:AlternateContent>
          <mc:Choice Requires="wps">
            <w:drawing>
              <wp:anchor distT="4294967293" distB="4294967293" distL="114300" distR="114300" simplePos="0" relativeHeight="251657728" behindDoc="0" locked="0" layoutInCell="1" allowOverlap="1" wp14:anchorId="714A96FA" wp14:editId="558EF5D9">
                <wp:simplePos x="0" y="0"/>
                <wp:positionH relativeFrom="column">
                  <wp:posOffset>0</wp:posOffset>
                </wp:positionH>
                <wp:positionV relativeFrom="paragraph">
                  <wp:posOffset>-1</wp:posOffset>
                </wp:positionV>
                <wp:extent cx="6158865" cy="0"/>
                <wp:effectExtent l="0" t="0" r="13335"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09DFD4" id="Straight Connector 5" o:spid="_x0000_s1026" style="position:absolute;flip:y;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14:paraId="798CC05B" w14:textId="77777777" w:rsidR="00F50650" w:rsidRPr="00701C8C" w:rsidRDefault="00F50650" w:rsidP="00F50650">
      <w:pPr>
        <w:pStyle w:val="Heading1"/>
        <w:rPr>
          <w:color w:val="000000" w:themeColor="text1"/>
        </w:rPr>
      </w:pPr>
      <w:bookmarkStart w:id="0" w:name="_Toc531176458"/>
      <w:bookmarkStart w:id="1" w:name="_Toc91163056"/>
      <w:r w:rsidRPr="00701C8C">
        <w:rPr>
          <w:color w:val="000000" w:themeColor="text1"/>
        </w:rPr>
        <w:t xml:space="preserve">1. </w:t>
      </w:r>
      <w:bookmarkEnd w:id="0"/>
      <w:r w:rsidRPr="00701C8C">
        <w:rPr>
          <w:color w:val="000000" w:themeColor="text1"/>
        </w:rPr>
        <w:t>Aims</w:t>
      </w:r>
      <w:bookmarkEnd w:id="1"/>
    </w:p>
    <w:p w14:paraId="23785ABC" w14:textId="77777777" w:rsidR="007846B3" w:rsidRDefault="00F50650" w:rsidP="007846B3">
      <w:pPr>
        <w:pStyle w:val="1bodycopy10pt"/>
        <w:jc w:val="both"/>
      </w:pPr>
      <w:r>
        <w:t>At Batley Parish CE Primary Academy, we believe every child deserves the chance to grow into a confident, caring, and resilient individual. Our PSHE (Personal, Social, Health and Economic education) and RSE (Relationships and Sex Education) curriculum is at the heart of this journey, offering children the essential knowledge and skills they need to navigate life’s challenges with confidence and kindness.</w:t>
      </w:r>
      <w:r>
        <w:br/>
      </w:r>
    </w:p>
    <w:p w14:paraId="2F84C139" w14:textId="5B3DB630" w:rsidR="007846B3" w:rsidRDefault="00F50650" w:rsidP="007846B3">
      <w:pPr>
        <w:pStyle w:val="1bodycopy10pt"/>
      </w:pPr>
      <w:r>
        <w:t>We aim to:</w:t>
      </w:r>
      <w:r>
        <w:br/>
      </w:r>
    </w:p>
    <w:p w14:paraId="56EED8CD" w14:textId="77777777" w:rsidR="007846B3" w:rsidRPr="007846B3" w:rsidRDefault="00F50650" w:rsidP="007846B3">
      <w:pPr>
        <w:pStyle w:val="1bodycopy10pt"/>
        <w:numPr>
          <w:ilvl w:val="0"/>
          <w:numId w:val="24"/>
        </w:numPr>
        <w:spacing w:after="0"/>
        <w:rPr>
          <w:lang w:val="en-GB"/>
        </w:rPr>
      </w:pPr>
      <w:r>
        <w:t>Provide a safe and supportive space to explore emotions, identity, relationships and the wider world</w:t>
      </w:r>
      <w:r w:rsidR="007846B3">
        <w:t>.</w:t>
      </w:r>
    </w:p>
    <w:p w14:paraId="6151EEBD" w14:textId="77777777" w:rsidR="007846B3" w:rsidRPr="007846B3" w:rsidRDefault="00F50650" w:rsidP="007846B3">
      <w:pPr>
        <w:pStyle w:val="1bodycopy10pt"/>
        <w:numPr>
          <w:ilvl w:val="0"/>
          <w:numId w:val="24"/>
        </w:numPr>
        <w:spacing w:after="0"/>
        <w:rPr>
          <w:lang w:val="en-GB"/>
        </w:rPr>
      </w:pPr>
      <w:r>
        <w:t>Teach key life skills such as resilience, empathy, critical thinking and communication.</w:t>
      </w:r>
    </w:p>
    <w:p w14:paraId="1A3352E0" w14:textId="77777777" w:rsidR="007846B3" w:rsidRPr="007846B3" w:rsidRDefault="00F50650" w:rsidP="007846B3">
      <w:pPr>
        <w:pStyle w:val="1bodycopy10pt"/>
        <w:numPr>
          <w:ilvl w:val="0"/>
          <w:numId w:val="24"/>
        </w:numPr>
        <w:spacing w:after="0"/>
        <w:rPr>
          <w:lang w:val="en-GB"/>
        </w:rPr>
      </w:pPr>
      <w:r>
        <w:t>Promote physical and emotional wellbeing, personal safety and online safety.</w:t>
      </w:r>
    </w:p>
    <w:p w14:paraId="52A4BE77" w14:textId="77777777" w:rsidR="007846B3" w:rsidRPr="007846B3" w:rsidRDefault="00F50650" w:rsidP="007846B3">
      <w:pPr>
        <w:pStyle w:val="1bodycopy10pt"/>
        <w:numPr>
          <w:ilvl w:val="0"/>
          <w:numId w:val="24"/>
        </w:numPr>
        <w:spacing w:after="0"/>
        <w:rPr>
          <w:lang w:val="en-GB"/>
        </w:rPr>
      </w:pPr>
      <w:r>
        <w:t>Teach about the Protected Characteristics (</w:t>
      </w:r>
      <w:proofErr w:type="gramStart"/>
      <w:r>
        <w:t>e.g.</w:t>
      </w:r>
      <w:proofErr w:type="gramEnd"/>
      <w:r>
        <w:t xml:space="preserve"> race, religion, disability, gender and family structure) to promote fairness and respect.</w:t>
      </w:r>
    </w:p>
    <w:p w14:paraId="2C284837" w14:textId="77777777" w:rsidR="007846B3" w:rsidRPr="007846B3" w:rsidRDefault="00F50650" w:rsidP="007846B3">
      <w:pPr>
        <w:pStyle w:val="1bodycopy10pt"/>
        <w:numPr>
          <w:ilvl w:val="0"/>
          <w:numId w:val="24"/>
        </w:numPr>
        <w:spacing w:after="0"/>
        <w:rPr>
          <w:lang w:val="en-GB"/>
        </w:rPr>
      </w:pPr>
      <w:r>
        <w:t>Embed British Values such as democracy, rule of law, individual liberty and respect for others.</w:t>
      </w:r>
    </w:p>
    <w:p w14:paraId="1B129C70" w14:textId="77777777" w:rsidR="007846B3" w:rsidRPr="007846B3" w:rsidRDefault="00F50650" w:rsidP="007846B3">
      <w:pPr>
        <w:pStyle w:val="1bodycopy10pt"/>
        <w:numPr>
          <w:ilvl w:val="0"/>
          <w:numId w:val="24"/>
        </w:numPr>
        <w:spacing w:after="0"/>
        <w:rPr>
          <w:lang w:val="en-GB"/>
        </w:rPr>
      </w:pPr>
      <w:r>
        <w:t>Ensure all pupils, including those with SEND, can fully access the curriculum.</w:t>
      </w:r>
    </w:p>
    <w:p w14:paraId="6FD27FB6" w14:textId="77777777" w:rsidR="007846B3" w:rsidRDefault="007846B3" w:rsidP="007846B3">
      <w:pPr>
        <w:pStyle w:val="1bodycopy10pt"/>
        <w:spacing w:after="0"/>
      </w:pPr>
    </w:p>
    <w:p w14:paraId="27BC643D" w14:textId="5E1F3F76" w:rsidR="00F50650" w:rsidRPr="007846B3" w:rsidRDefault="00F50650" w:rsidP="007846B3">
      <w:pPr>
        <w:pStyle w:val="1bodycopy10pt"/>
        <w:spacing w:after="0"/>
        <w:rPr>
          <w:lang w:val="en-GB"/>
        </w:rPr>
      </w:pPr>
      <w:r>
        <w:t>Our PSHE and RSE offer supports every child’s personal development and prepares them for life in modern Britain.</w:t>
      </w:r>
    </w:p>
    <w:p w14:paraId="015E3156" w14:textId="69832BBF" w:rsidR="00F50650" w:rsidRDefault="00F50650" w:rsidP="007846B3">
      <w:pPr>
        <w:pStyle w:val="1bodycopy10pt"/>
        <w:jc w:val="both"/>
      </w:pPr>
    </w:p>
    <w:p w14:paraId="68323632" w14:textId="77777777" w:rsidR="007846B3" w:rsidRDefault="007846B3" w:rsidP="007846B3">
      <w:pPr>
        <w:pStyle w:val="1bodycopy10pt"/>
        <w:jc w:val="both"/>
      </w:pPr>
    </w:p>
    <w:p w14:paraId="15975410" w14:textId="77777777" w:rsidR="00F50650" w:rsidRPr="00701C8C" w:rsidRDefault="00F50650" w:rsidP="007846B3">
      <w:pPr>
        <w:pStyle w:val="Heading1"/>
        <w:jc w:val="both"/>
        <w:rPr>
          <w:color w:val="000000" w:themeColor="text1"/>
        </w:rPr>
      </w:pPr>
      <w:bookmarkStart w:id="2" w:name="_Toc531176459"/>
      <w:bookmarkStart w:id="3" w:name="_Toc91163057"/>
      <w:r w:rsidRPr="00701C8C">
        <w:rPr>
          <w:color w:val="000000" w:themeColor="text1"/>
        </w:rPr>
        <w:t xml:space="preserve">2. </w:t>
      </w:r>
      <w:bookmarkEnd w:id="2"/>
      <w:r w:rsidRPr="00701C8C">
        <w:rPr>
          <w:color w:val="000000" w:themeColor="text1"/>
        </w:rPr>
        <w:t>Statutory requirements</w:t>
      </w:r>
      <w:bookmarkEnd w:id="3"/>
    </w:p>
    <w:p w14:paraId="6980968B" w14:textId="77777777" w:rsidR="00F50650" w:rsidRDefault="00F50650" w:rsidP="007846B3">
      <w:pPr>
        <w:jc w:val="both"/>
      </w:pPr>
      <w:r>
        <w:t>PSHE is a non-statutory subject. However, there are aspects of it we are required to teach.</w:t>
      </w:r>
    </w:p>
    <w:p w14:paraId="051C48B3" w14:textId="2AF4C3B2" w:rsidR="00F50650" w:rsidRDefault="00F50650" w:rsidP="007846B3">
      <w:pPr>
        <w:pStyle w:val="4Bulletedcopyblue"/>
        <w:numPr>
          <w:ilvl w:val="0"/>
          <w:numId w:val="25"/>
        </w:numPr>
        <w:jc w:val="both"/>
      </w:pPr>
      <w:r>
        <w:t xml:space="preserve">We must teach relationships education under the </w:t>
      </w:r>
      <w:hyperlink r:id="rId13" w:history="1">
        <w:r w:rsidRPr="00C73CA0">
          <w:rPr>
            <w:rStyle w:val="Hyperlink"/>
          </w:rPr>
          <w:t>Children and Social Work Act 2017</w:t>
        </w:r>
      </w:hyperlink>
      <w:r>
        <w:t xml:space="preserve">, in line with the terms set out in </w:t>
      </w:r>
      <w:hyperlink r:id="rId14" w:history="1">
        <w:r w:rsidRPr="009C0AAF">
          <w:rPr>
            <w:rStyle w:val="Hyperlink"/>
          </w:rPr>
          <w:t>statutory guidance</w:t>
        </w:r>
      </w:hyperlink>
    </w:p>
    <w:p w14:paraId="291DAFEE" w14:textId="0B04417C" w:rsidR="00F50650" w:rsidRDefault="00F50650" w:rsidP="007846B3">
      <w:pPr>
        <w:pStyle w:val="4Bulletedcopyblue"/>
        <w:numPr>
          <w:ilvl w:val="0"/>
          <w:numId w:val="25"/>
        </w:numPr>
        <w:jc w:val="both"/>
      </w:pPr>
      <w:r>
        <w:t>We must teach health education under the same statutory guidance</w:t>
      </w:r>
      <w:r w:rsidR="007846B3">
        <w:t>.</w:t>
      </w:r>
    </w:p>
    <w:p w14:paraId="72F2FA13" w14:textId="69560702" w:rsidR="00F50650" w:rsidRDefault="00F50650" w:rsidP="007846B3">
      <w:pPr>
        <w:jc w:val="both"/>
      </w:pPr>
    </w:p>
    <w:p w14:paraId="2457D8AE" w14:textId="77777777" w:rsidR="007846B3" w:rsidRDefault="007846B3" w:rsidP="007846B3">
      <w:pPr>
        <w:jc w:val="both"/>
      </w:pPr>
    </w:p>
    <w:p w14:paraId="6E70A914" w14:textId="77777777" w:rsidR="00F50650" w:rsidRPr="00701C8C" w:rsidRDefault="00F50650" w:rsidP="007846B3">
      <w:pPr>
        <w:pStyle w:val="Heading1"/>
        <w:jc w:val="both"/>
        <w:rPr>
          <w:color w:val="000000" w:themeColor="text1"/>
        </w:rPr>
      </w:pPr>
      <w:bookmarkStart w:id="4" w:name="_Toc91163058"/>
      <w:r w:rsidRPr="00701C8C">
        <w:rPr>
          <w:color w:val="000000" w:themeColor="text1"/>
        </w:rPr>
        <w:t>3. Content and delivery</w:t>
      </w:r>
      <w:bookmarkEnd w:id="4"/>
    </w:p>
    <w:p w14:paraId="73135FF8" w14:textId="77777777" w:rsidR="00F50650" w:rsidRPr="007846B3" w:rsidRDefault="00F50650" w:rsidP="007846B3">
      <w:pPr>
        <w:pStyle w:val="Subhead2"/>
        <w:jc w:val="both"/>
        <w:rPr>
          <w:color w:val="000000" w:themeColor="text1"/>
          <w:sz w:val="20"/>
          <w:szCs w:val="20"/>
          <w:lang w:val="en-GB"/>
        </w:rPr>
      </w:pPr>
      <w:r w:rsidRPr="007846B3">
        <w:rPr>
          <w:color w:val="000000" w:themeColor="text1"/>
          <w:sz w:val="20"/>
          <w:szCs w:val="20"/>
          <w:lang w:val="en-GB"/>
        </w:rPr>
        <w:t>3.1 What we teach</w:t>
      </w:r>
    </w:p>
    <w:p w14:paraId="4955A91A" w14:textId="77777777" w:rsidR="00F50650" w:rsidRPr="00934972" w:rsidRDefault="00F50650" w:rsidP="007846B3">
      <w:pPr>
        <w:pStyle w:val="1bodycopy"/>
        <w:jc w:val="both"/>
        <w:rPr>
          <w:lang w:val="en-GB"/>
        </w:rPr>
      </w:pPr>
      <w:r>
        <w:rPr>
          <w:lang w:val="en-GB"/>
        </w:rPr>
        <w:t>As stated above, we</w:t>
      </w:r>
      <w:r w:rsidR="00803CB9">
        <w:rPr>
          <w:lang w:val="en-GB"/>
        </w:rPr>
        <w:t xml:space="preserve"> a</w:t>
      </w:r>
      <w:r>
        <w:rPr>
          <w:lang w:val="en-GB"/>
        </w:rPr>
        <w:t xml:space="preserve">re </w:t>
      </w:r>
      <w:r w:rsidRPr="00934972">
        <w:rPr>
          <w:lang w:val="en-GB"/>
        </w:rPr>
        <w:t xml:space="preserve">required to cover the content for relationships and sex education, and health education, as set out in the statutory guidance (linked to above). </w:t>
      </w:r>
    </w:p>
    <w:p w14:paraId="76451598" w14:textId="5658E24D" w:rsidR="00F50650" w:rsidRPr="0097466A" w:rsidRDefault="00F50650" w:rsidP="007846B3">
      <w:pPr>
        <w:pStyle w:val="1bodycopy"/>
        <w:jc w:val="both"/>
        <w:rPr>
          <w:lang w:val="en-GB"/>
        </w:rPr>
      </w:pPr>
      <w:r w:rsidRPr="00934972">
        <w:rPr>
          <w:lang w:val="en-GB"/>
        </w:rPr>
        <w:t>Refer to our relationships and sex education</w:t>
      </w:r>
      <w:r>
        <w:rPr>
          <w:lang w:val="en-GB"/>
        </w:rPr>
        <w:t xml:space="preserve"> policy for details about what we teach, and how we decide on what to teach, in this subject. </w:t>
      </w:r>
      <w:r w:rsidR="00701C8C">
        <w:rPr>
          <w:lang w:val="en-GB"/>
        </w:rPr>
        <w:t>This can be found on th</w:t>
      </w:r>
      <w:r w:rsidR="007846B3">
        <w:rPr>
          <w:lang w:val="en-GB"/>
        </w:rPr>
        <w:t>e policies</w:t>
      </w:r>
      <w:r w:rsidR="00701C8C">
        <w:rPr>
          <w:lang w:val="en-GB"/>
        </w:rPr>
        <w:t xml:space="preserve"> page on our website.</w:t>
      </w:r>
    </w:p>
    <w:p w14:paraId="535A6F8A" w14:textId="77777777" w:rsidR="00F50650" w:rsidRDefault="00F50650" w:rsidP="007846B3">
      <w:pPr>
        <w:pStyle w:val="1bodycopy"/>
        <w:jc w:val="both"/>
        <w:rPr>
          <w:lang w:val="en-GB"/>
        </w:rPr>
      </w:pPr>
      <w:r>
        <w:rPr>
          <w:lang w:val="en-GB"/>
        </w:rPr>
        <w:t xml:space="preserve">For other aspects of PSHE, including health education, see the </w:t>
      </w:r>
      <w:hyperlink r:id="rId15" w:history="1">
        <w:r w:rsidR="00701C8C" w:rsidRPr="00701C8C">
          <w:rPr>
            <w:rStyle w:val="Hyperlink"/>
            <w:lang w:val="en-GB"/>
          </w:rPr>
          <w:t>long term pla</w:t>
        </w:r>
        <w:r w:rsidR="00701C8C" w:rsidRPr="00701C8C">
          <w:rPr>
            <w:rStyle w:val="Hyperlink"/>
            <w:lang w:val="en-GB"/>
          </w:rPr>
          <w:t>n</w:t>
        </w:r>
      </w:hyperlink>
      <w:r w:rsidR="00701C8C">
        <w:rPr>
          <w:lang w:val="en-GB"/>
        </w:rPr>
        <w:t xml:space="preserve"> on our school website </w:t>
      </w:r>
      <w:r>
        <w:rPr>
          <w:lang w:val="en-GB"/>
        </w:rPr>
        <w:t xml:space="preserve">for more details about what we teach in each </w:t>
      </w:r>
      <w:r w:rsidR="00701C8C" w:rsidRPr="00701C8C">
        <w:rPr>
          <w:lang w:val="en-GB"/>
        </w:rPr>
        <w:t xml:space="preserve">year group. </w:t>
      </w:r>
    </w:p>
    <w:p w14:paraId="55274C36" w14:textId="77777777" w:rsidR="007846B3" w:rsidRDefault="007846B3" w:rsidP="007846B3">
      <w:pPr>
        <w:pStyle w:val="Subhead2"/>
        <w:jc w:val="both"/>
        <w:rPr>
          <w:color w:val="000000" w:themeColor="text1"/>
          <w:sz w:val="20"/>
          <w:szCs w:val="20"/>
          <w:lang w:val="en-GB"/>
        </w:rPr>
      </w:pPr>
    </w:p>
    <w:p w14:paraId="4F75DCC5" w14:textId="28F4DF4D" w:rsidR="00F50650" w:rsidRPr="007846B3" w:rsidRDefault="00F50650" w:rsidP="007846B3">
      <w:pPr>
        <w:pStyle w:val="Subhead2"/>
        <w:spacing w:before="0"/>
        <w:jc w:val="both"/>
        <w:rPr>
          <w:color w:val="000000" w:themeColor="text1"/>
          <w:sz w:val="20"/>
          <w:szCs w:val="20"/>
          <w:lang w:val="en-GB"/>
        </w:rPr>
      </w:pPr>
      <w:r w:rsidRPr="007846B3">
        <w:rPr>
          <w:color w:val="000000" w:themeColor="text1"/>
          <w:sz w:val="20"/>
          <w:szCs w:val="20"/>
          <w:lang w:val="en-GB"/>
        </w:rPr>
        <w:lastRenderedPageBreak/>
        <w:t>3.2 How we teach it</w:t>
      </w:r>
    </w:p>
    <w:p w14:paraId="77A35106" w14:textId="4CA8714F" w:rsidR="00934972" w:rsidRPr="00934972" w:rsidRDefault="00934972" w:rsidP="007846B3">
      <w:pPr>
        <w:jc w:val="both"/>
        <w:rPr>
          <w:rFonts w:eastAsia="Times New Roman" w:cs="Arial"/>
          <w:lang w:val="en-GB" w:eastAsia="en-GB"/>
        </w:rPr>
      </w:pPr>
      <w:r w:rsidRPr="00934972">
        <w:rPr>
          <w:rFonts w:eastAsia="Times New Roman" w:cs="Arial"/>
          <w:lang w:val="en-GB" w:eastAsia="en-GB"/>
        </w:rPr>
        <w:t xml:space="preserve">At Batley Parish CE J&amp;I School, PSHE is taught as a discrete subject </w:t>
      </w:r>
      <w:r w:rsidRPr="00701C8C">
        <w:rPr>
          <w:rFonts w:eastAsia="Times New Roman" w:cs="Arial"/>
          <w:bCs/>
          <w:lang w:val="en-GB" w:eastAsia="en-GB"/>
        </w:rPr>
        <w:t>every week</w:t>
      </w:r>
      <w:r w:rsidRPr="00934972">
        <w:rPr>
          <w:rFonts w:eastAsia="Times New Roman" w:cs="Arial"/>
          <w:lang w:val="en-GB" w:eastAsia="en-GB"/>
        </w:rPr>
        <w:t xml:space="preserve"> in all year groups, from </w:t>
      </w:r>
      <w:r w:rsidR="00701C8C" w:rsidRPr="00701C8C">
        <w:rPr>
          <w:rFonts w:eastAsia="Times New Roman" w:cs="Arial"/>
          <w:lang w:val="en-GB" w:eastAsia="en-GB"/>
        </w:rPr>
        <w:t xml:space="preserve">Nursery </w:t>
      </w:r>
      <w:r w:rsidRPr="00934972">
        <w:rPr>
          <w:rFonts w:eastAsia="Times New Roman" w:cs="Arial"/>
          <w:lang w:val="en-GB" w:eastAsia="en-GB"/>
        </w:rPr>
        <w:t xml:space="preserve">to Year 6. Lessons last between 45 and 60 minutes and follow a set of </w:t>
      </w:r>
      <w:r w:rsidRPr="00701C8C">
        <w:rPr>
          <w:rFonts w:eastAsia="Times New Roman" w:cs="Arial"/>
          <w:bCs/>
          <w:lang w:val="en-GB" w:eastAsia="en-GB"/>
        </w:rPr>
        <w:t>progressive, spiral units</w:t>
      </w:r>
      <w:r w:rsidRPr="00934972">
        <w:rPr>
          <w:rFonts w:eastAsia="Times New Roman" w:cs="Arial"/>
          <w:lang w:val="en-GB" w:eastAsia="en-GB"/>
        </w:rPr>
        <w:t xml:space="preserve"> that build on pupils’ knowledge and understanding as they move through the school. In addition to these weekly lessons, key aspects of the PSHE curriculum are reinforced throughout the </w:t>
      </w:r>
      <w:r w:rsidRPr="00701C8C">
        <w:rPr>
          <w:rFonts w:eastAsia="Times New Roman" w:cs="Arial"/>
          <w:bCs/>
          <w:lang w:val="en-GB" w:eastAsia="en-GB"/>
        </w:rPr>
        <w:t>wider school offer</w:t>
      </w:r>
      <w:r w:rsidRPr="00934972">
        <w:rPr>
          <w:rFonts w:eastAsia="Times New Roman" w:cs="Arial"/>
          <w:lang w:val="en-GB" w:eastAsia="en-GB"/>
        </w:rPr>
        <w:t xml:space="preserve">, including during daily collective worship, themed weekly assemblies, tutor time discussions, and whole-school events such as Anti-Bullying Week, Children’s Mental Health Week and charity days. Cross-curricular links also strengthen understanding, with PSHE themes appearing in subjects like </w:t>
      </w:r>
      <w:r w:rsidR="007846B3">
        <w:rPr>
          <w:rFonts w:eastAsia="Times New Roman" w:cs="Arial"/>
          <w:lang w:val="en-GB" w:eastAsia="en-GB"/>
        </w:rPr>
        <w:t>s</w:t>
      </w:r>
      <w:r w:rsidRPr="00934972">
        <w:rPr>
          <w:rFonts w:eastAsia="Times New Roman" w:cs="Arial"/>
          <w:lang w:val="en-GB" w:eastAsia="en-GB"/>
        </w:rPr>
        <w:t>cience (</w:t>
      </w:r>
      <w:proofErr w:type="gramStart"/>
      <w:r w:rsidRPr="00934972">
        <w:rPr>
          <w:rFonts w:eastAsia="Times New Roman" w:cs="Arial"/>
          <w:lang w:val="en-GB" w:eastAsia="en-GB"/>
        </w:rPr>
        <w:t>e.g.</w:t>
      </w:r>
      <w:proofErr w:type="gramEnd"/>
      <w:r w:rsidR="007846B3">
        <w:rPr>
          <w:rFonts w:eastAsia="Times New Roman" w:cs="Arial"/>
          <w:lang w:val="en-GB" w:eastAsia="en-GB"/>
        </w:rPr>
        <w:t xml:space="preserve"> </w:t>
      </w:r>
      <w:r w:rsidRPr="00934972">
        <w:rPr>
          <w:rFonts w:eastAsia="Times New Roman" w:cs="Arial"/>
          <w:lang w:val="en-GB" w:eastAsia="en-GB"/>
        </w:rPr>
        <w:t xml:space="preserve">health), </w:t>
      </w:r>
      <w:r w:rsidR="007846B3">
        <w:rPr>
          <w:rFonts w:eastAsia="Times New Roman" w:cs="Arial"/>
          <w:lang w:val="en-GB" w:eastAsia="en-GB"/>
        </w:rPr>
        <w:t>c</w:t>
      </w:r>
      <w:r w:rsidRPr="00934972">
        <w:rPr>
          <w:rFonts w:eastAsia="Times New Roman" w:cs="Arial"/>
          <w:lang w:val="en-GB" w:eastAsia="en-GB"/>
        </w:rPr>
        <w:t>omputing (e.g. online safety), and PE (e.g. teamwork and wellbeing).</w:t>
      </w:r>
    </w:p>
    <w:p w14:paraId="0BA7D591" w14:textId="77777777" w:rsidR="007846B3" w:rsidRDefault="007846B3" w:rsidP="007846B3">
      <w:pPr>
        <w:spacing w:after="0"/>
        <w:jc w:val="both"/>
        <w:rPr>
          <w:rFonts w:eastAsia="Times New Roman" w:cs="Arial"/>
          <w:b/>
          <w:lang w:val="en-GB" w:eastAsia="en-GB"/>
        </w:rPr>
      </w:pPr>
    </w:p>
    <w:p w14:paraId="0EFDE52D" w14:textId="77777777" w:rsidR="007846B3" w:rsidRDefault="007846B3" w:rsidP="007846B3">
      <w:pPr>
        <w:spacing w:after="0"/>
        <w:jc w:val="both"/>
        <w:rPr>
          <w:rFonts w:eastAsia="Times New Roman" w:cs="Arial"/>
          <w:b/>
          <w:lang w:val="en-GB" w:eastAsia="en-GB"/>
        </w:rPr>
      </w:pPr>
    </w:p>
    <w:p w14:paraId="4F683CC1" w14:textId="40B8DCDD" w:rsidR="00597926" w:rsidRPr="00597926" w:rsidRDefault="00597926" w:rsidP="007846B3">
      <w:pPr>
        <w:jc w:val="both"/>
        <w:rPr>
          <w:rFonts w:eastAsia="Times New Roman" w:cs="Arial"/>
          <w:b/>
          <w:lang w:val="en-GB" w:eastAsia="en-GB"/>
        </w:rPr>
      </w:pPr>
      <w:r w:rsidRPr="00597926">
        <w:rPr>
          <w:rFonts w:eastAsia="Times New Roman" w:cs="Arial"/>
          <w:b/>
          <w:lang w:val="en-GB" w:eastAsia="en-GB"/>
        </w:rPr>
        <w:t>Associated visits</w:t>
      </w:r>
    </w:p>
    <w:p w14:paraId="6CEF8F67" w14:textId="77777777" w:rsidR="00934972" w:rsidRPr="00934972" w:rsidRDefault="00934972" w:rsidP="007846B3">
      <w:pPr>
        <w:jc w:val="both"/>
        <w:rPr>
          <w:rFonts w:eastAsia="Times New Roman" w:cs="Arial"/>
          <w:lang w:val="en-GB" w:eastAsia="en-GB"/>
        </w:rPr>
      </w:pPr>
      <w:r w:rsidRPr="00934972">
        <w:rPr>
          <w:rFonts w:eastAsia="Times New Roman" w:cs="Arial"/>
          <w:lang w:val="en-GB" w:eastAsia="en-GB"/>
        </w:rPr>
        <w:t xml:space="preserve">Learning is further enriched by a range of </w:t>
      </w:r>
      <w:r w:rsidRPr="00701C8C">
        <w:rPr>
          <w:rFonts w:eastAsia="Times New Roman" w:cs="Arial"/>
          <w:bCs/>
          <w:lang w:val="en-GB" w:eastAsia="en-GB"/>
        </w:rPr>
        <w:t>school trips and workshops</w:t>
      </w:r>
      <w:r w:rsidRPr="00934972">
        <w:rPr>
          <w:rFonts w:eastAsia="Times New Roman" w:cs="Arial"/>
          <w:lang w:val="en-GB" w:eastAsia="en-GB"/>
        </w:rPr>
        <w:t xml:space="preserve"> linked to PSHE t</w:t>
      </w:r>
      <w:r w:rsidR="00597926">
        <w:rPr>
          <w:rFonts w:eastAsia="Times New Roman" w:cs="Arial"/>
          <w:lang w:val="en-GB" w:eastAsia="en-GB"/>
        </w:rPr>
        <w:t>hemes. Examples include visits from</w:t>
      </w:r>
      <w:r w:rsidRPr="00934972">
        <w:rPr>
          <w:rFonts w:eastAsia="Times New Roman" w:cs="Arial"/>
          <w:lang w:val="en-GB" w:eastAsia="en-GB"/>
        </w:rPr>
        <w:t xml:space="preserve"> local emergency services, and workshops delivered by the NSPCC and other specialist organisations. The curriculum is primarily delivered by </w:t>
      </w:r>
      <w:r w:rsidRPr="00701C8C">
        <w:rPr>
          <w:rFonts w:eastAsia="Times New Roman" w:cs="Arial"/>
          <w:bCs/>
          <w:lang w:val="en-GB" w:eastAsia="en-GB"/>
        </w:rPr>
        <w:t>class teachers</w:t>
      </w:r>
      <w:r w:rsidRPr="00934972">
        <w:rPr>
          <w:rFonts w:eastAsia="Times New Roman" w:cs="Arial"/>
          <w:lang w:val="en-GB" w:eastAsia="en-GB"/>
        </w:rPr>
        <w:t xml:space="preserve">, who follow our whole-school programme of study supported by carefully chosen resources. Certain sessions are enhanced by </w:t>
      </w:r>
      <w:r w:rsidRPr="00701C8C">
        <w:rPr>
          <w:rFonts w:eastAsia="Times New Roman" w:cs="Arial"/>
          <w:bCs/>
          <w:lang w:val="en-GB" w:eastAsia="en-GB"/>
        </w:rPr>
        <w:t>external agencies</w:t>
      </w:r>
      <w:r w:rsidRPr="00934972">
        <w:rPr>
          <w:rFonts w:eastAsia="Times New Roman" w:cs="Arial"/>
          <w:lang w:val="en-GB" w:eastAsia="en-GB"/>
        </w:rPr>
        <w:t>, such as healthcare professionals, community police officers, or trained charity speakers, where appropriate.</w:t>
      </w:r>
    </w:p>
    <w:p w14:paraId="68521477" w14:textId="77777777" w:rsidR="007846B3" w:rsidRDefault="007846B3" w:rsidP="007846B3">
      <w:pPr>
        <w:spacing w:after="0"/>
        <w:jc w:val="both"/>
        <w:rPr>
          <w:rFonts w:eastAsia="Times New Roman" w:cs="Arial"/>
          <w:b/>
          <w:lang w:val="en-GB" w:eastAsia="en-GB"/>
        </w:rPr>
      </w:pPr>
    </w:p>
    <w:p w14:paraId="753033FC" w14:textId="77777777" w:rsidR="007846B3" w:rsidRDefault="007846B3" w:rsidP="007846B3">
      <w:pPr>
        <w:spacing w:after="0"/>
        <w:jc w:val="both"/>
        <w:rPr>
          <w:rFonts w:eastAsia="Times New Roman" w:cs="Arial"/>
          <w:b/>
          <w:lang w:val="en-GB" w:eastAsia="en-GB"/>
        </w:rPr>
      </w:pPr>
    </w:p>
    <w:p w14:paraId="3D5D53B6" w14:textId="2FE81311" w:rsidR="00597926" w:rsidRPr="00597926" w:rsidRDefault="00597926" w:rsidP="007846B3">
      <w:pPr>
        <w:jc w:val="both"/>
        <w:rPr>
          <w:rFonts w:eastAsia="Times New Roman" w:cs="Arial"/>
          <w:b/>
          <w:lang w:val="en-GB" w:eastAsia="en-GB"/>
        </w:rPr>
      </w:pPr>
      <w:r w:rsidRPr="00597926">
        <w:rPr>
          <w:rFonts w:eastAsia="Times New Roman" w:cs="Arial"/>
          <w:b/>
          <w:lang w:val="en-GB" w:eastAsia="en-GB"/>
        </w:rPr>
        <w:t xml:space="preserve">Special Educational Needs and Disabilities </w:t>
      </w:r>
    </w:p>
    <w:p w14:paraId="4061392B" w14:textId="77777777" w:rsidR="00934972" w:rsidRPr="00934972" w:rsidRDefault="00934972" w:rsidP="007846B3">
      <w:pPr>
        <w:jc w:val="both"/>
        <w:rPr>
          <w:rFonts w:eastAsia="Times New Roman" w:cs="Arial"/>
          <w:lang w:val="en-GB" w:eastAsia="en-GB"/>
        </w:rPr>
      </w:pPr>
      <w:r w:rsidRPr="00934972">
        <w:rPr>
          <w:rFonts w:eastAsia="Times New Roman" w:cs="Arial"/>
          <w:lang w:val="en-GB" w:eastAsia="en-GB"/>
        </w:rPr>
        <w:t xml:space="preserve">We are committed to ensuring all pupils can access and engage with PSHE, including those with </w:t>
      </w:r>
      <w:r w:rsidRPr="00701C8C">
        <w:rPr>
          <w:rFonts w:eastAsia="Times New Roman" w:cs="Arial"/>
          <w:bCs/>
          <w:lang w:val="en-GB" w:eastAsia="en-GB"/>
        </w:rPr>
        <w:t>special educational needs and disabilities (SEND)</w:t>
      </w:r>
      <w:r w:rsidRPr="00934972">
        <w:rPr>
          <w:rFonts w:eastAsia="Times New Roman" w:cs="Arial"/>
          <w:lang w:val="en-GB" w:eastAsia="en-GB"/>
        </w:rPr>
        <w:t>. Lessons are fully inclusive, using adapted materials, differentiated activities, visual aids, pre-teaching of vocabulary, and targeted adult support where necessary. The curriculum is designed to reflect and respect the diversity of all pupils, including different cultural backgrounds, family structures and protected characteristics.</w:t>
      </w:r>
    </w:p>
    <w:p w14:paraId="2BBAD189" w14:textId="77777777" w:rsidR="007846B3" w:rsidRDefault="007846B3" w:rsidP="007846B3">
      <w:pPr>
        <w:spacing w:after="0"/>
        <w:jc w:val="both"/>
        <w:rPr>
          <w:rFonts w:eastAsia="Times New Roman" w:cs="Arial"/>
          <w:b/>
          <w:lang w:val="en-GB" w:eastAsia="en-GB"/>
        </w:rPr>
      </w:pPr>
    </w:p>
    <w:p w14:paraId="1866CDB9" w14:textId="77777777" w:rsidR="007846B3" w:rsidRDefault="007846B3" w:rsidP="007846B3">
      <w:pPr>
        <w:spacing w:after="0"/>
        <w:jc w:val="both"/>
        <w:rPr>
          <w:rFonts w:eastAsia="Times New Roman" w:cs="Arial"/>
          <w:b/>
          <w:lang w:val="en-GB" w:eastAsia="en-GB"/>
        </w:rPr>
      </w:pPr>
    </w:p>
    <w:p w14:paraId="6CDB0E78" w14:textId="390538F4" w:rsidR="00597926" w:rsidRPr="00597926" w:rsidRDefault="00597926" w:rsidP="007846B3">
      <w:pPr>
        <w:jc w:val="both"/>
        <w:rPr>
          <w:rFonts w:eastAsia="Times New Roman" w:cs="Arial"/>
          <w:b/>
          <w:lang w:val="en-GB" w:eastAsia="en-GB"/>
        </w:rPr>
      </w:pPr>
      <w:r w:rsidRPr="00597926">
        <w:rPr>
          <w:rFonts w:eastAsia="Times New Roman" w:cs="Arial"/>
          <w:b/>
          <w:lang w:val="en-GB" w:eastAsia="en-GB"/>
        </w:rPr>
        <w:t>Sensitive topics</w:t>
      </w:r>
    </w:p>
    <w:p w14:paraId="2AC7085B" w14:textId="77777777" w:rsidR="00934972" w:rsidRPr="00934972" w:rsidRDefault="00934972" w:rsidP="007846B3">
      <w:pPr>
        <w:jc w:val="both"/>
        <w:rPr>
          <w:rFonts w:eastAsia="Times New Roman" w:cs="Arial"/>
          <w:lang w:val="en-GB" w:eastAsia="en-GB"/>
        </w:rPr>
      </w:pPr>
      <w:r w:rsidRPr="00934972">
        <w:rPr>
          <w:rFonts w:eastAsia="Times New Roman" w:cs="Arial"/>
          <w:lang w:val="en-GB" w:eastAsia="en-GB"/>
        </w:rPr>
        <w:t xml:space="preserve">Teachers approach </w:t>
      </w:r>
      <w:r w:rsidRPr="00701C8C">
        <w:rPr>
          <w:rFonts w:eastAsia="Times New Roman" w:cs="Arial"/>
          <w:bCs/>
          <w:lang w:val="en-GB" w:eastAsia="en-GB"/>
        </w:rPr>
        <w:t>controversial topics and difficult questions</w:t>
      </w:r>
      <w:r w:rsidRPr="00934972">
        <w:rPr>
          <w:rFonts w:eastAsia="Times New Roman" w:cs="Arial"/>
          <w:lang w:val="en-GB" w:eastAsia="en-GB"/>
        </w:rPr>
        <w:t xml:space="preserve"> with sensitivity and professionalism. Ground rules are established at the start of each unit to create a safe, respectful environment for discussion. Anonymous question boxes may be used to help pupils ask questions they might find difficult. Staff ensure lessons are balanced and factual, and they are trained not to let their own personal beliefs or values influence teaching. If a teacher has concerns about their ability to deliver a particular topic, they are encouraged to speak to the PSHE subject lead or a member of the senior leadership team. Additional training, support or team teaching can be arranged to ensure all staff feel confident and well-prepared.</w:t>
      </w:r>
    </w:p>
    <w:p w14:paraId="30986127" w14:textId="77777777" w:rsidR="00540121" w:rsidRDefault="00540121" w:rsidP="007846B3">
      <w:pPr>
        <w:spacing w:after="0"/>
        <w:jc w:val="both"/>
        <w:rPr>
          <w:rFonts w:eastAsia="Times New Roman" w:cs="Arial"/>
          <w:lang w:val="en-GB" w:eastAsia="en-GB"/>
        </w:rPr>
      </w:pPr>
    </w:p>
    <w:p w14:paraId="60D3E3B1" w14:textId="77777777" w:rsidR="00540121" w:rsidRPr="00540121" w:rsidRDefault="00540121" w:rsidP="007846B3">
      <w:pPr>
        <w:jc w:val="both"/>
        <w:rPr>
          <w:rFonts w:eastAsia="Times New Roman" w:cs="Arial"/>
          <w:b/>
          <w:color w:val="000000"/>
          <w:szCs w:val="27"/>
          <w:lang w:val="en-GB" w:eastAsia="en-GB"/>
        </w:rPr>
      </w:pPr>
      <w:r>
        <w:rPr>
          <w:rFonts w:eastAsia="Times New Roman" w:cs="Arial"/>
          <w:b/>
          <w:color w:val="000000"/>
          <w:szCs w:val="27"/>
          <w:lang w:val="en-GB" w:eastAsia="en-GB"/>
        </w:rPr>
        <w:t>As</w:t>
      </w:r>
      <w:r w:rsidRPr="00540121">
        <w:rPr>
          <w:rFonts w:eastAsia="Times New Roman" w:cs="Arial"/>
          <w:b/>
          <w:color w:val="000000"/>
          <w:szCs w:val="27"/>
          <w:lang w:val="en-GB" w:eastAsia="en-GB"/>
        </w:rPr>
        <w:t xml:space="preserve">sessment </w:t>
      </w:r>
      <w:r>
        <w:rPr>
          <w:rFonts w:eastAsia="Times New Roman" w:cs="Arial"/>
          <w:b/>
          <w:color w:val="000000"/>
          <w:szCs w:val="27"/>
          <w:lang w:val="en-GB" w:eastAsia="en-GB"/>
        </w:rPr>
        <w:t xml:space="preserve">and teaching </w:t>
      </w:r>
      <w:r w:rsidRPr="00540121">
        <w:rPr>
          <w:rFonts w:eastAsia="Times New Roman" w:cs="Arial"/>
          <w:b/>
          <w:color w:val="000000"/>
          <w:szCs w:val="27"/>
          <w:lang w:val="en-GB" w:eastAsia="en-GB"/>
        </w:rPr>
        <w:t xml:space="preserve">methods </w:t>
      </w:r>
    </w:p>
    <w:p w14:paraId="3BD2E4ED" w14:textId="77777777" w:rsidR="00934972" w:rsidRPr="00934972" w:rsidRDefault="00934972" w:rsidP="007846B3">
      <w:pPr>
        <w:jc w:val="both"/>
        <w:rPr>
          <w:rFonts w:eastAsia="Times New Roman" w:cs="Arial"/>
          <w:lang w:val="en-GB" w:eastAsia="en-GB"/>
        </w:rPr>
      </w:pPr>
      <w:r w:rsidRPr="00934972">
        <w:rPr>
          <w:rFonts w:eastAsia="Times New Roman" w:cs="Arial"/>
          <w:lang w:val="en-GB" w:eastAsia="en-GB"/>
        </w:rPr>
        <w:t xml:space="preserve">We use a wide range of </w:t>
      </w:r>
      <w:r w:rsidRPr="00701C8C">
        <w:rPr>
          <w:rFonts w:eastAsia="Times New Roman" w:cs="Arial"/>
          <w:bCs/>
          <w:lang w:val="en-GB" w:eastAsia="en-GB"/>
        </w:rPr>
        <w:t>teaching methods and resources</w:t>
      </w:r>
      <w:r w:rsidRPr="00934972">
        <w:rPr>
          <w:rFonts w:eastAsia="Times New Roman" w:cs="Arial"/>
          <w:lang w:val="en-GB" w:eastAsia="en-GB"/>
        </w:rPr>
        <w:t>, including storybooks, circle time, role play, case studies, video clips, pupil-led discussions and cre</w:t>
      </w:r>
      <w:r w:rsidR="00540121">
        <w:rPr>
          <w:rFonts w:eastAsia="Times New Roman" w:cs="Arial"/>
          <w:lang w:val="en-GB" w:eastAsia="en-GB"/>
        </w:rPr>
        <w:t xml:space="preserve">ative tasks such as posters for their </w:t>
      </w:r>
      <w:r w:rsidRPr="00934972">
        <w:rPr>
          <w:rFonts w:eastAsia="Times New Roman" w:cs="Arial"/>
          <w:lang w:val="en-GB" w:eastAsia="en-GB"/>
        </w:rPr>
        <w:t xml:space="preserve">floor books. Our main planning follows the </w:t>
      </w:r>
      <w:r w:rsidRPr="00701C8C">
        <w:rPr>
          <w:rFonts w:eastAsia="Times New Roman" w:cs="Arial"/>
          <w:bCs/>
          <w:lang w:val="en-GB" w:eastAsia="en-GB"/>
        </w:rPr>
        <w:t>PSHE Association’s Programme Builder</w:t>
      </w:r>
      <w:r w:rsidRPr="00934972">
        <w:rPr>
          <w:rFonts w:eastAsia="Times New Roman" w:cs="Arial"/>
          <w:lang w:val="en-GB" w:eastAsia="en-GB"/>
        </w:rPr>
        <w:t xml:space="preserve">, supported by Jigsaw and SCARF where appropriate. </w:t>
      </w:r>
      <w:r w:rsidRPr="00701C8C">
        <w:rPr>
          <w:rFonts w:eastAsia="Times New Roman" w:cs="Arial"/>
          <w:bCs/>
          <w:lang w:val="en-GB" w:eastAsia="en-GB"/>
        </w:rPr>
        <w:t>Assessment</w:t>
      </w:r>
      <w:r w:rsidRPr="00934972">
        <w:rPr>
          <w:rFonts w:eastAsia="Times New Roman" w:cs="Arial"/>
          <w:lang w:val="en-GB" w:eastAsia="en-GB"/>
        </w:rPr>
        <w:t xml:space="preserve"> takes place through a combination of baseline tasks, pupil self-reflections, teacher observations and end-of-unit activities. Progress is tracked using age-appropr</w:t>
      </w:r>
      <w:r w:rsidR="00540121">
        <w:rPr>
          <w:rFonts w:eastAsia="Times New Roman" w:cs="Arial"/>
          <w:lang w:val="en-GB" w:eastAsia="en-GB"/>
        </w:rPr>
        <w:t>iate ‘working towards’, ‘expected</w:t>
      </w:r>
      <w:r w:rsidRPr="00934972">
        <w:rPr>
          <w:rFonts w:eastAsia="Times New Roman" w:cs="Arial"/>
          <w:lang w:val="en-GB" w:eastAsia="en-GB"/>
        </w:rPr>
        <w:t>’ and ‘</w:t>
      </w:r>
      <w:r w:rsidR="00540121">
        <w:rPr>
          <w:rFonts w:eastAsia="Times New Roman" w:cs="Arial"/>
          <w:lang w:val="en-GB" w:eastAsia="en-GB"/>
        </w:rPr>
        <w:t>greater depth’</w:t>
      </w:r>
      <w:r w:rsidRPr="00934972">
        <w:rPr>
          <w:rFonts w:eastAsia="Times New Roman" w:cs="Arial"/>
          <w:lang w:val="en-GB" w:eastAsia="en-GB"/>
        </w:rPr>
        <w:t xml:space="preserve"> descriptors, and moderated across year groups for consistency.</w:t>
      </w:r>
    </w:p>
    <w:p w14:paraId="147C6136" w14:textId="77777777" w:rsidR="007846B3" w:rsidRDefault="007846B3" w:rsidP="007846B3">
      <w:pPr>
        <w:jc w:val="both"/>
        <w:rPr>
          <w:rFonts w:eastAsia="Times New Roman" w:cs="Arial"/>
          <w:b/>
          <w:bCs/>
          <w:lang w:val="en-GB" w:eastAsia="en-GB"/>
        </w:rPr>
      </w:pPr>
    </w:p>
    <w:p w14:paraId="24A539F5" w14:textId="41DB4895" w:rsidR="00597926" w:rsidRPr="00597926" w:rsidRDefault="00597926" w:rsidP="007846B3">
      <w:pPr>
        <w:jc w:val="both"/>
        <w:rPr>
          <w:rFonts w:eastAsia="Times New Roman" w:cs="Arial"/>
          <w:b/>
          <w:bCs/>
          <w:lang w:val="en-GB" w:eastAsia="en-GB"/>
        </w:rPr>
      </w:pPr>
      <w:r w:rsidRPr="00597926">
        <w:rPr>
          <w:rFonts w:eastAsia="Times New Roman" w:cs="Arial"/>
          <w:b/>
          <w:bCs/>
          <w:lang w:val="en-GB" w:eastAsia="en-GB"/>
        </w:rPr>
        <w:t xml:space="preserve">Family involvement </w:t>
      </w:r>
    </w:p>
    <w:p w14:paraId="71AD2805" w14:textId="3AEEE6F5" w:rsidR="00934972" w:rsidRDefault="00934972" w:rsidP="007846B3">
      <w:pPr>
        <w:jc w:val="both"/>
        <w:rPr>
          <w:rFonts w:eastAsia="Times New Roman" w:cs="Arial"/>
          <w:lang w:val="en-GB" w:eastAsia="en-GB"/>
        </w:rPr>
      </w:pPr>
      <w:r w:rsidRPr="00701C8C">
        <w:rPr>
          <w:rFonts w:eastAsia="Times New Roman" w:cs="Arial"/>
          <w:bCs/>
          <w:lang w:val="en-GB" w:eastAsia="en-GB"/>
        </w:rPr>
        <w:t>Progress in PSHE is reported to parents</w:t>
      </w:r>
      <w:r w:rsidRPr="00934972">
        <w:rPr>
          <w:rFonts w:eastAsia="Times New Roman" w:cs="Arial"/>
          <w:lang w:val="en-GB" w:eastAsia="en-GB"/>
        </w:rPr>
        <w:t xml:space="preserve"> through annual written reports and discussions during parent evenings. In addition, parents are consulted in advance of any RSE topics considered sensitive, and are invited to review the teaching materials and ask questions. Curriculum information is also shared half-termly via the school website to keep families informed and involved. Through this comprehensive and inclusive approach, we ensure every child receives high-quality PSHE education that prepares them to thrive in modern life.</w:t>
      </w:r>
    </w:p>
    <w:p w14:paraId="7A1F1A0B" w14:textId="77777777" w:rsidR="007846B3" w:rsidRDefault="007846B3" w:rsidP="007846B3">
      <w:pPr>
        <w:jc w:val="both"/>
        <w:rPr>
          <w:rFonts w:eastAsia="Times New Roman" w:cs="Arial"/>
          <w:lang w:val="en-GB" w:eastAsia="en-GB"/>
        </w:rPr>
      </w:pPr>
    </w:p>
    <w:p w14:paraId="1AE5349D" w14:textId="77777777" w:rsidR="00F50650" w:rsidRPr="00701C8C" w:rsidRDefault="00F50650" w:rsidP="007846B3">
      <w:pPr>
        <w:pStyle w:val="Heading1"/>
        <w:jc w:val="both"/>
        <w:rPr>
          <w:color w:val="000000" w:themeColor="text1"/>
        </w:rPr>
      </w:pPr>
      <w:bookmarkStart w:id="5" w:name="_Toc91163059"/>
      <w:r w:rsidRPr="00701C8C">
        <w:rPr>
          <w:color w:val="000000" w:themeColor="text1"/>
        </w:rPr>
        <w:lastRenderedPageBreak/>
        <w:t>4. Roles and responsibilities</w:t>
      </w:r>
      <w:bookmarkEnd w:id="5"/>
    </w:p>
    <w:p w14:paraId="76CFE653" w14:textId="77777777" w:rsidR="00910426" w:rsidRDefault="00910426" w:rsidP="00910426">
      <w:pPr>
        <w:pStyle w:val="Subhead2"/>
        <w:spacing w:before="0"/>
        <w:jc w:val="both"/>
        <w:rPr>
          <w:color w:val="000000" w:themeColor="text1"/>
          <w:sz w:val="20"/>
          <w:szCs w:val="20"/>
          <w:lang w:val="en-GB"/>
        </w:rPr>
      </w:pPr>
    </w:p>
    <w:p w14:paraId="66203AFB" w14:textId="4C731A97" w:rsidR="00F50650" w:rsidRPr="00910426" w:rsidRDefault="00F50650" w:rsidP="00910426">
      <w:pPr>
        <w:pStyle w:val="Subhead2"/>
        <w:spacing w:before="0"/>
        <w:jc w:val="both"/>
        <w:rPr>
          <w:color w:val="000000" w:themeColor="text1"/>
          <w:sz w:val="20"/>
          <w:szCs w:val="20"/>
          <w:lang w:val="en-GB"/>
        </w:rPr>
      </w:pPr>
      <w:r w:rsidRPr="00910426">
        <w:rPr>
          <w:color w:val="000000" w:themeColor="text1"/>
          <w:sz w:val="20"/>
          <w:szCs w:val="20"/>
          <w:lang w:val="en-GB"/>
        </w:rPr>
        <w:t>4.1 The governing board</w:t>
      </w:r>
    </w:p>
    <w:p w14:paraId="58F895B8" w14:textId="757BB3DE" w:rsidR="00910426" w:rsidRPr="00910426" w:rsidRDefault="00F50650" w:rsidP="00910426">
      <w:pPr>
        <w:pStyle w:val="1bodycopy10pt"/>
        <w:jc w:val="both"/>
        <w:rPr>
          <w:lang w:val="en-GB"/>
        </w:rPr>
      </w:pPr>
      <w:r w:rsidRPr="006C75B0">
        <w:rPr>
          <w:lang w:val="en-GB"/>
        </w:rPr>
        <w:t>The go</w:t>
      </w:r>
      <w:r>
        <w:rPr>
          <w:lang w:val="en-GB"/>
        </w:rPr>
        <w:t>verning board will approve the PSHE</w:t>
      </w:r>
      <w:r w:rsidRPr="006C75B0">
        <w:rPr>
          <w:lang w:val="en-GB"/>
        </w:rPr>
        <w:t xml:space="preserve"> policy and hold </w:t>
      </w:r>
      <w:r w:rsidR="00910426">
        <w:rPr>
          <w:lang w:val="en-GB"/>
        </w:rPr>
        <w:t>Headteacher</w:t>
      </w:r>
      <w:r w:rsidRPr="006C75B0">
        <w:rPr>
          <w:lang w:val="en-GB"/>
        </w:rPr>
        <w:t xml:space="preserve"> to account for its implementation.</w:t>
      </w:r>
    </w:p>
    <w:p w14:paraId="76D681E3" w14:textId="77777777" w:rsidR="00910426" w:rsidRDefault="00910426" w:rsidP="00910426">
      <w:pPr>
        <w:pStyle w:val="Subhead2"/>
        <w:spacing w:before="0"/>
        <w:jc w:val="both"/>
        <w:rPr>
          <w:color w:val="000000" w:themeColor="text1"/>
          <w:lang w:val="en-GB"/>
        </w:rPr>
      </w:pPr>
    </w:p>
    <w:p w14:paraId="1D767CBD" w14:textId="1147BE2A" w:rsidR="00F50650" w:rsidRPr="00910426" w:rsidRDefault="00F50650" w:rsidP="00910426">
      <w:pPr>
        <w:pStyle w:val="Subhead2"/>
        <w:spacing w:before="0"/>
        <w:jc w:val="both"/>
        <w:rPr>
          <w:color w:val="000000" w:themeColor="text1"/>
          <w:sz w:val="20"/>
          <w:szCs w:val="20"/>
          <w:lang w:val="en-GB"/>
        </w:rPr>
      </w:pPr>
      <w:r w:rsidRPr="00910426">
        <w:rPr>
          <w:color w:val="000000" w:themeColor="text1"/>
          <w:sz w:val="20"/>
          <w:szCs w:val="20"/>
          <w:lang w:val="en-GB"/>
        </w:rPr>
        <w:t xml:space="preserve">4.2 The </w:t>
      </w:r>
      <w:r w:rsidR="00910426">
        <w:rPr>
          <w:color w:val="000000" w:themeColor="text1"/>
          <w:sz w:val="20"/>
          <w:szCs w:val="20"/>
          <w:lang w:val="en-GB"/>
        </w:rPr>
        <w:t>Headteacher and Senior Leadership Team</w:t>
      </w:r>
    </w:p>
    <w:p w14:paraId="659C229E" w14:textId="383FF625" w:rsidR="00F50650" w:rsidRDefault="00F50650" w:rsidP="00910426">
      <w:pPr>
        <w:pStyle w:val="1bodycopy10pt"/>
        <w:jc w:val="both"/>
        <w:rPr>
          <w:lang w:val="en-GB"/>
        </w:rPr>
      </w:pPr>
      <w:r w:rsidRPr="00A67A67">
        <w:rPr>
          <w:lang w:val="en-GB"/>
        </w:rPr>
        <w:t xml:space="preserve">The </w:t>
      </w:r>
      <w:r w:rsidR="00910426">
        <w:rPr>
          <w:lang w:val="en-GB"/>
        </w:rPr>
        <w:t>Headteacher and Senior Leadership Team</w:t>
      </w:r>
      <w:r w:rsidRPr="00A67A67">
        <w:rPr>
          <w:lang w:val="en-GB"/>
        </w:rPr>
        <w:t xml:space="preserve"> </w:t>
      </w:r>
      <w:r w:rsidR="00910426">
        <w:rPr>
          <w:lang w:val="en-GB"/>
        </w:rPr>
        <w:t>are</w:t>
      </w:r>
      <w:r w:rsidRPr="00A67A67">
        <w:rPr>
          <w:lang w:val="en-GB"/>
        </w:rPr>
        <w:t xml:space="preserve"> </w:t>
      </w:r>
      <w:r>
        <w:rPr>
          <w:lang w:val="en-GB"/>
        </w:rPr>
        <w:t>responsible for ensuring that PSHE</w:t>
      </w:r>
      <w:r w:rsidRPr="00A67A67">
        <w:rPr>
          <w:lang w:val="en-GB"/>
        </w:rPr>
        <w:t xml:space="preserve"> is taught consistently across the school</w:t>
      </w:r>
      <w:r>
        <w:rPr>
          <w:lang w:val="en-GB"/>
        </w:rPr>
        <w:t>.</w:t>
      </w:r>
    </w:p>
    <w:p w14:paraId="611F076B" w14:textId="77777777" w:rsidR="00910426" w:rsidRDefault="00910426" w:rsidP="00910426">
      <w:pPr>
        <w:pStyle w:val="Subhead2"/>
        <w:spacing w:before="0"/>
        <w:jc w:val="both"/>
        <w:rPr>
          <w:color w:val="000000" w:themeColor="text1"/>
          <w:lang w:val="en-GB"/>
        </w:rPr>
      </w:pPr>
    </w:p>
    <w:p w14:paraId="31E8FDF0" w14:textId="1E41E5F1" w:rsidR="00F50650" w:rsidRPr="00910426" w:rsidRDefault="00F50650" w:rsidP="00910426">
      <w:pPr>
        <w:pStyle w:val="Subhead2"/>
        <w:spacing w:before="0"/>
        <w:jc w:val="both"/>
        <w:rPr>
          <w:color w:val="000000" w:themeColor="text1"/>
          <w:sz w:val="20"/>
          <w:szCs w:val="20"/>
          <w:lang w:val="en-GB"/>
        </w:rPr>
      </w:pPr>
      <w:r w:rsidRPr="00910426">
        <w:rPr>
          <w:color w:val="000000" w:themeColor="text1"/>
          <w:sz w:val="20"/>
          <w:szCs w:val="20"/>
          <w:lang w:val="en-GB"/>
        </w:rPr>
        <w:t>4.3 Staff</w:t>
      </w:r>
    </w:p>
    <w:p w14:paraId="5262A14D" w14:textId="77777777" w:rsidR="00F50650" w:rsidRPr="00540121" w:rsidRDefault="00F50650" w:rsidP="00910426">
      <w:pPr>
        <w:pStyle w:val="1bodycopy10pt"/>
        <w:jc w:val="both"/>
        <w:rPr>
          <w:color w:val="000000" w:themeColor="text1"/>
          <w:lang w:val="en-GB"/>
        </w:rPr>
      </w:pPr>
      <w:r w:rsidRPr="00540121">
        <w:rPr>
          <w:color w:val="000000" w:themeColor="text1"/>
          <w:lang w:val="en-GB"/>
        </w:rPr>
        <w:t>Staff are responsible for:</w:t>
      </w:r>
    </w:p>
    <w:p w14:paraId="2CD2DAE5" w14:textId="77777777" w:rsidR="00F50650" w:rsidRPr="00910426" w:rsidRDefault="00F50650" w:rsidP="00910426">
      <w:pPr>
        <w:pStyle w:val="1bodycopy10pt"/>
        <w:numPr>
          <w:ilvl w:val="0"/>
          <w:numId w:val="24"/>
        </w:numPr>
        <w:spacing w:after="0"/>
      </w:pPr>
      <w:r w:rsidRPr="00910426">
        <w:t>Delivering PSHE in a sensitive way</w:t>
      </w:r>
    </w:p>
    <w:p w14:paraId="30244774" w14:textId="77777777" w:rsidR="00F50650" w:rsidRPr="00910426" w:rsidRDefault="00F50650" w:rsidP="00910426">
      <w:pPr>
        <w:pStyle w:val="1bodycopy10pt"/>
        <w:numPr>
          <w:ilvl w:val="0"/>
          <w:numId w:val="24"/>
        </w:numPr>
        <w:spacing w:after="0"/>
      </w:pPr>
      <w:r w:rsidRPr="00910426">
        <w:t>Modelling positive attitudes to PSHE</w:t>
      </w:r>
    </w:p>
    <w:p w14:paraId="7AD5F2D2" w14:textId="77777777" w:rsidR="00F50650" w:rsidRPr="00910426" w:rsidRDefault="00F50650" w:rsidP="00910426">
      <w:pPr>
        <w:pStyle w:val="1bodycopy10pt"/>
        <w:numPr>
          <w:ilvl w:val="0"/>
          <w:numId w:val="24"/>
        </w:numPr>
        <w:spacing w:after="0"/>
      </w:pPr>
      <w:r w:rsidRPr="00910426">
        <w:t>Monitoring progress</w:t>
      </w:r>
    </w:p>
    <w:p w14:paraId="7CD15FA4" w14:textId="77777777" w:rsidR="00F50650" w:rsidRPr="00910426" w:rsidRDefault="00F50650" w:rsidP="00910426">
      <w:pPr>
        <w:pStyle w:val="1bodycopy10pt"/>
        <w:numPr>
          <w:ilvl w:val="0"/>
          <w:numId w:val="24"/>
        </w:numPr>
        <w:spacing w:after="0"/>
      </w:pPr>
      <w:r w:rsidRPr="00910426">
        <w:t>Responding to the needs of individual pupils</w:t>
      </w:r>
    </w:p>
    <w:p w14:paraId="01704E29" w14:textId="77777777" w:rsidR="00910426" w:rsidRDefault="00910426" w:rsidP="00910426">
      <w:pPr>
        <w:pStyle w:val="Subhead2"/>
        <w:spacing w:before="0"/>
        <w:jc w:val="both"/>
        <w:rPr>
          <w:color w:val="000000" w:themeColor="text1"/>
          <w:sz w:val="20"/>
          <w:szCs w:val="20"/>
          <w:lang w:val="en-GB"/>
        </w:rPr>
      </w:pPr>
    </w:p>
    <w:p w14:paraId="074F1270" w14:textId="0C645DD4" w:rsidR="00F50650" w:rsidRPr="00910426" w:rsidRDefault="00F50650" w:rsidP="00910426">
      <w:pPr>
        <w:pStyle w:val="Subhead2"/>
        <w:spacing w:before="0"/>
        <w:jc w:val="both"/>
        <w:rPr>
          <w:color w:val="000000" w:themeColor="text1"/>
          <w:sz w:val="20"/>
          <w:szCs w:val="20"/>
          <w:lang w:val="en-GB"/>
        </w:rPr>
      </w:pPr>
      <w:r w:rsidRPr="00910426">
        <w:rPr>
          <w:color w:val="000000" w:themeColor="text1"/>
          <w:sz w:val="20"/>
          <w:szCs w:val="20"/>
          <w:lang w:val="en-GB"/>
        </w:rPr>
        <w:t>4.4 Pupils</w:t>
      </w:r>
    </w:p>
    <w:p w14:paraId="7F830FE6" w14:textId="77777777" w:rsidR="00F50650" w:rsidRPr="00701C8C" w:rsidRDefault="00F50650" w:rsidP="00910426">
      <w:pPr>
        <w:pStyle w:val="1bodycopy10pt"/>
        <w:jc w:val="both"/>
        <w:rPr>
          <w:color w:val="000000" w:themeColor="text1"/>
        </w:rPr>
      </w:pPr>
      <w:r w:rsidRPr="00701C8C">
        <w:rPr>
          <w:color w:val="000000" w:themeColor="text1"/>
        </w:rPr>
        <w:t>Pupils are expected to engage fully in PSHE and, when discussing issues related to PSHE, treat others with respect and sensitivity.</w:t>
      </w:r>
    </w:p>
    <w:p w14:paraId="6205FA1E" w14:textId="77777777" w:rsidR="00F50650" w:rsidRDefault="00F50650" w:rsidP="007846B3">
      <w:pPr>
        <w:pStyle w:val="4Bulletedcopyblue"/>
        <w:numPr>
          <w:ilvl w:val="0"/>
          <w:numId w:val="0"/>
        </w:numPr>
        <w:jc w:val="both"/>
        <w:rPr>
          <w:highlight w:val="yellow"/>
          <w:lang w:val="en-GB"/>
        </w:rPr>
      </w:pPr>
    </w:p>
    <w:p w14:paraId="1A592BA4" w14:textId="77777777" w:rsidR="00F50650" w:rsidRPr="006C75B0" w:rsidRDefault="00F50650" w:rsidP="007846B3">
      <w:pPr>
        <w:pStyle w:val="Heading1"/>
        <w:jc w:val="both"/>
      </w:pPr>
      <w:bookmarkStart w:id="6" w:name="_Toc11230576"/>
      <w:bookmarkStart w:id="7" w:name="_Toc91163060"/>
      <w:r w:rsidRPr="00701C8C">
        <w:rPr>
          <w:color w:val="000000" w:themeColor="text1"/>
        </w:rPr>
        <w:t>5. Monitoring arrangements</w:t>
      </w:r>
      <w:bookmarkEnd w:id="6"/>
      <w:bookmarkEnd w:id="7"/>
    </w:p>
    <w:p w14:paraId="69EBE4C7" w14:textId="6B17B199" w:rsidR="00934972" w:rsidRPr="00910426" w:rsidRDefault="00934972" w:rsidP="007846B3">
      <w:pPr>
        <w:spacing w:before="100" w:beforeAutospacing="1" w:after="100" w:afterAutospacing="1"/>
        <w:jc w:val="both"/>
        <w:rPr>
          <w:rFonts w:eastAsia="Times New Roman" w:cs="Arial"/>
          <w:szCs w:val="20"/>
          <w:lang w:val="en-GB" w:eastAsia="en-GB"/>
        </w:rPr>
      </w:pPr>
      <w:r w:rsidRPr="00910426">
        <w:rPr>
          <w:rFonts w:eastAsia="Times New Roman" w:cs="Arial"/>
          <w:szCs w:val="20"/>
          <w:lang w:val="en-GB" w:eastAsia="en-GB"/>
        </w:rPr>
        <w:t>The PSHE subject lead</w:t>
      </w:r>
      <w:r w:rsidR="00910426">
        <w:rPr>
          <w:rFonts w:eastAsia="Times New Roman" w:cs="Arial"/>
          <w:szCs w:val="20"/>
          <w:lang w:val="en-GB" w:eastAsia="en-GB"/>
        </w:rPr>
        <w:t>,</w:t>
      </w:r>
      <w:r w:rsidRPr="00910426">
        <w:rPr>
          <w:rFonts w:eastAsia="Times New Roman" w:cs="Arial"/>
          <w:szCs w:val="20"/>
          <w:lang w:val="en-GB" w:eastAsia="en-GB"/>
        </w:rPr>
        <w:t xml:space="preserve"> Mrs Rebecca Aka</w:t>
      </w:r>
      <w:r w:rsidR="00910426">
        <w:rPr>
          <w:rFonts w:eastAsia="Times New Roman" w:cs="Arial"/>
          <w:szCs w:val="20"/>
          <w:lang w:val="en-GB" w:eastAsia="en-GB"/>
        </w:rPr>
        <w:t xml:space="preserve">, </w:t>
      </w:r>
      <w:r w:rsidRPr="00910426">
        <w:rPr>
          <w:rFonts w:eastAsia="Times New Roman" w:cs="Arial"/>
          <w:szCs w:val="20"/>
          <w:lang w:val="en-GB" w:eastAsia="en-GB"/>
        </w:rPr>
        <w:t>monitors teaching and learning regularly to ensure the curriculum is delivered effectively across school. This includes:</w:t>
      </w:r>
    </w:p>
    <w:p w14:paraId="19B49AF5" w14:textId="77777777" w:rsidR="00934972" w:rsidRPr="00910426" w:rsidRDefault="00934972" w:rsidP="007846B3">
      <w:pPr>
        <w:numPr>
          <w:ilvl w:val="0"/>
          <w:numId w:val="22"/>
        </w:numPr>
        <w:spacing w:before="100" w:beforeAutospacing="1" w:after="100" w:afterAutospacing="1"/>
        <w:jc w:val="both"/>
        <w:rPr>
          <w:rFonts w:eastAsia="Times New Roman" w:cs="Arial"/>
          <w:szCs w:val="20"/>
          <w:lang w:val="en-GB" w:eastAsia="en-GB"/>
        </w:rPr>
      </w:pPr>
      <w:r w:rsidRPr="00910426">
        <w:rPr>
          <w:rFonts w:eastAsia="Times New Roman" w:cs="Arial"/>
          <w:b/>
          <w:bCs/>
          <w:szCs w:val="20"/>
          <w:lang w:val="en-GB" w:eastAsia="en-GB"/>
        </w:rPr>
        <w:t>Learning walks</w:t>
      </w:r>
      <w:r w:rsidRPr="00910426">
        <w:rPr>
          <w:rFonts w:eastAsia="Times New Roman" w:cs="Arial"/>
          <w:szCs w:val="20"/>
          <w:lang w:val="en-GB" w:eastAsia="en-GB"/>
        </w:rPr>
        <w:t xml:space="preserve"> – Observations of lessons to see how PSHE is being taught and how pupils are engaging.</w:t>
      </w:r>
    </w:p>
    <w:p w14:paraId="40A97BBA" w14:textId="77777777" w:rsidR="00934972" w:rsidRPr="00910426" w:rsidRDefault="00934972" w:rsidP="007846B3">
      <w:pPr>
        <w:numPr>
          <w:ilvl w:val="0"/>
          <w:numId w:val="22"/>
        </w:numPr>
        <w:spacing w:before="100" w:beforeAutospacing="1" w:after="100" w:afterAutospacing="1"/>
        <w:jc w:val="both"/>
        <w:rPr>
          <w:rFonts w:eastAsia="Times New Roman" w:cs="Arial"/>
          <w:szCs w:val="20"/>
          <w:lang w:val="en-GB" w:eastAsia="en-GB"/>
        </w:rPr>
      </w:pPr>
      <w:r w:rsidRPr="00910426">
        <w:rPr>
          <w:rFonts w:eastAsia="Times New Roman" w:cs="Arial"/>
          <w:b/>
          <w:bCs/>
          <w:szCs w:val="20"/>
          <w:lang w:val="en-GB" w:eastAsia="en-GB"/>
        </w:rPr>
        <w:t>Pupil voice</w:t>
      </w:r>
      <w:r w:rsidRPr="00910426">
        <w:rPr>
          <w:rFonts w:eastAsia="Times New Roman" w:cs="Arial"/>
          <w:szCs w:val="20"/>
          <w:lang w:val="en-GB" w:eastAsia="en-GB"/>
        </w:rPr>
        <w:t xml:space="preserve"> – Talking to pupils about what they’ve learned and how safe and supported they feel in lessons.</w:t>
      </w:r>
    </w:p>
    <w:p w14:paraId="40FC566D" w14:textId="77777777" w:rsidR="00934972" w:rsidRPr="00910426" w:rsidRDefault="00934972" w:rsidP="007846B3">
      <w:pPr>
        <w:numPr>
          <w:ilvl w:val="0"/>
          <w:numId w:val="22"/>
        </w:numPr>
        <w:spacing w:before="100" w:beforeAutospacing="1" w:after="100" w:afterAutospacing="1"/>
        <w:jc w:val="both"/>
        <w:rPr>
          <w:rFonts w:eastAsia="Times New Roman" w:cs="Arial"/>
          <w:szCs w:val="20"/>
          <w:lang w:val="en-GB" w:eastAsia="en-GB"/>
        </w:rPr>
      </w:pPr>
      <w:r w:rsidRPr="00910426">
        <w:rPr>
          <w:rFonts w:eastAsia="Times New Roman" w:cs="Arial"/>
          <w:b/>
          <w:bCs/>
          <w:szCs w:val="20"/>
          <w:lang w:val="en-GB" w:eastAsia="en-GB"/>
        </w:rPr>
        <w:t>Staff feedback</w:t>
      </w:r>
      <w:r w:rsidRPr="00910426">
        <w:rPr>
          <w:rFonts w:eastAsia="Times New Roman" w:cs="Arial"/>
          <w:szCs w:val="20"/>
          <w:lang w:val="en-GB" w:eastAsia="en-GB"/>
        </w:rPr>
        <w:t xml:space="preserve"> – Teachers are encouraged to share their confidence levels and training needs.</w:t>
      </w:r>
    </w:p>
    <w:p w14:paraId="2B8C74DB" w14:textId="77777777" w:rsidR="00934972" w:rsidRPr="00910426" w:rsidRDefault="00934972" w:rsidP="007846B3">
      <w:pPr>
        <w:numPr>
          <w:ilvl w:val="0"/>
          <w:numId w:val="22"/>
        </w:numPr>
        <w:spacing w:before="100" w:beforeAutospacing="1" w:after="100" w:afterAutospacing="1"/>
        <w:jc w:val="both"/>
        <w:rPr>
          <w:rFonts w:eastAsia="Times New Roman" w:cs="Arial"/>
          <w:szCs w:val="20"/>
          <w:lang w:val="en-GB" w:eastAsia="en-GB"/>
        </w:rPr>
      </w:pPr>
      <w:r w:rsidRPr="00910426">
        <w:rPr>
          <w:rFonts w:eastAsia="Times New Roman" w:cs="Arial"/>
          <w:b/>
          <w:bCs/>
          <w:szCs w:val="20"/>
          <w:lang w:val="en-GB" w:eastAsia="en-GB"/>
        </w:rPr>
        <w:t>Annual review</w:t>
      </w:r>
      <w:r w:rsidRPr="00910426">
        <w:rPr>
          <w:rFonts w:eastAsia="Times New Roman" w:cs="Arial"/>
          <w:szCs w:val="20"/>
          <w:lang w:val="en-GB" w:eastAsia="en-GB"/>
        </w:rPr>
        <w:t xml:space="preserve"> – The curriculum is reviewed each year to make sure it remains up to date and meets pupils’ needs.</w:t>
      </w:r>
    </w:p>
    <w:p w14:paraId="466BC68E" w14:textId="77777777" w:rsidR="00934972" w:rsidRPr="00910426" w:rsidRDefault="00934972" w:rsidP="007846B3">
      <w:pPr>
        <w:spacing w:before="100" w:beforeAutospacing="1" w:after="100" w:afterAutospacing="1"/>
        <w:jc w:val="both"/>
        <w:rPr>
          <w:rFonts w:eastAsia="Times New Roman" w:cs="Arial"/>
          <w:szCs w:val="20"/>
          <w:lang w:val="en-GB" w:eastAsia="en-GB"/>
        </w:rPr>
      </w:pPr>
      <w:r w:rsidRPr="00910426">
        <w:rPr>
          <w:rFonts w:eastAsia="Times New Roman" w:cs="Arial"/>
          <w:szCs w:val="20"/>
          <w:lang w:val="en-GB" w:eastAsia="en-GB"/>
        </w:rPr>
        <w:t>All monitoring helps improve practice, share what’s working well, and make sure all pupils get a high-quality PSHE education.</w:t>
      </w:r>
    </w:p>
    <w:p w14:paraId="2FAD1CFD" w14:textId="0C7721E4" w:rsidR="00F50650" w:rsidRDefault="00F50650" w:rsidP="007846B3">
      <w:pPr>
        <w:pStyle w:val="1bodycopy10pt"/>
        <w:jc w:val="both"/>
        <w:rPr>
          <w:lang w:val="en-GB"/>
        </w:rPr>
      </w:pPr>
      <w:r w:rsidRPr="00506C52">
        <w:rPr>
          <w:lang w:val="en-GB"/>
        </w:rPr>
        <w:t xml:space="preserve">This policy will be reviewed by </w:t>
      </w:r>
      <w:r w:rsidR="00934972">
        <w:rPr>
          <w:lang w:val="en-GB"/>
        </w:rPr>
        <w:t>Mrs Rebecc</w:t>
      </w:r>
      <w:r w:rsidR="0069454D">
        <w:rPr>
          <w:lang w:val="en-GB"/>
        </w:rPr>
        <w:t>a Aka, PSHE Coordinator</w:t>
      </w:r>
      <w:r w:rsidR="00910426">
        <w:rPr>
          <w:lang w:val="en-GB"/>
        </w:rPr>
        <w:t xml:space="preserve">, </w:t>
      </w:r>
      <w:r w:rsidR="0069454D">
        <w:rPr>
          <w:lang w:val="en-GB"/>
        </w:rPr>
        <w:t>biannually</w:t>
      </w:r>
      <w:r w:rsidR="00934972">
        <w:rPr>
          <w:lang w:val="en-GB"/>
        </w:rPr>
        <w:t xml:space="preserve">. </w:t>
      </w:r>
      <w:r w:rsidRPr="00506C52">
        <w:rPr>
          <w:lang w:val="en-GB"/>
        </w:rPr>
        <w:t>At every review, the policy will be approved by</w:t>
      </w:r>
      <w:r w:rsidR="00934972">
        <w:rPr>
          <w:lang w:val="en-GB"/>
        </w:rPr>
        <w:t xml:space="preserve"> the governing body and Mrs Sennett. </w:t>
      </w:r>
    </w:p>
    <w:p w14:paraId="1F3DE2DD" w14:textId="77777777" w:rsidR="00F50650" w:rsidRPr="00701C8C" w:rsidRDefault="00F50650" w:rsidP="007846B3">
      <w:pPr>
        <w:pStyle w:val="1bodycopy10pt"/>
        <w:jc w:val="both"/>
        <w:rPr>
          <w:color w:val="000000" w:themeColor="text1"/>
        </w:rPr>
      </w:pPr>
    </w:p>
    <w:p w14:paraId="243500AB" w14:textId="77777777" w:rsidR="00F50650" w:rsidRPr="00701C8C" w:rsidRDefault="00F50650" w:rsidP="007846B3">
      <w:pPr>
        <w:pStyle w:val="Heading1"/>
        <w:jc w:val="both"/>
        <w:rPr>
          <w:color w:val="000000" w:themeColor="text1"/>
        </w:rPr>
      </w:pPr>
      <w:bookmarkStart w:id="8" w:name="_Toc25251515"/>
      <w:bookmarkStart w:id="9" w:name="_Toc91163061"/>
      <w:r w:rsidRPr="00701C8C">
        <w:rPr>
          <w:color w:val="000000" w:themeColor="text1"/>
        </w:rPr>
        <w:t>6. Links with other policies</w:t>
      </w:r>
      <w:bookmarkEnd w:id="8"/>
      <w:bookmarkEnd w:id="9"/>
    </w:p>
    <w:p w14:paraId="2067656F" w14:textId="525C4361" w:rsidR="00F50650" w:rsidRDefault="00F50650" w:rsidP="007846B3">
      <w:pPr>
        <w:pStyle w:val="1bodycopy"/>
        <w:jc w:val="both"/>
        <w:rPr>
          <w:lang w:val="en-GB"/>
        </w:rPr>
      </w:pPr>
      <w:r w:rsidRPr="00E1748F">
        <w:rPr>
          <w:lang w:val="en-GB"/>
        </w:rPr>
        <w:t>This policy links to the following policies</w:t>
      </w:r>
      <w:r>
        <w:rPr>
          <w:lang w:val="en-GB"/>
        </w:rPr>
        <w:t xml:space="preserve"> and procedures</w:t>
      </w:r>
      <w:r w:rsidR="00701C8C">
        <w:rPr>
          <w:lang w:val="en-GB"/>
        </w:rPr>
        <w:t xml:space="preserve"> which can be </w:t>
      </w:r>
      <w:r w:rsidR="00910426">
        <w:rPr>
          <w:lang w:val="en-GB"/>
        </w:rPr>
        <w:t>found on the policy page of our</w:t>
      </w:r>
      <w:r w:rsidR="00701C8C">
        <w:rPr>
          <w:lang w:val="en-GB"/>
        </w:rPr>
        <w:t xml:space="preserve"> website. The related policies include:</w:t>
      </w:r>
    </w:p>
    <w:p w14:paraId="39AB077A" w14:textId="77777777" w:rsidR="00375061" w:rsidRPr="00F50650" w:rsidRDefault="00701C8C" w:rsidP="00910426">
      <w:pPr>
        <w:pStyle w:val="1bodycopy"/>
        <w:numPr>
          <w:ilvl w:val="0"/>
          <w:numId w:val="27"/>
        </w:numPr>
        <w:jc w:val="both"/>
      </w:pPr>
      <w:r>
        <w:rPr>
          <w:lang w:val="en-GB"/>
        </w:rPr>
        <w:t>RSE Policy</w:t>
      </w:r>
    </w:p>
    <w:sectPr w:rsidR="00375061" w:rsidRPr="00F50650" w:rsidSect="007846B3">
      <w:headerReference w:type="even" r:id="rId16"/>
      <w:headerReference w:type="default" r:id="rId17"/>
      <w:footerReference w:type="default" r:id="rId18"/>
      <w:headerReference w:type="first" r:id="rId19"/>
      <w:footerReference w:type="first" r:id="rId20"/>
      <w:pgSz w:w="11900" w:h="16840" w:code="9"/>
      <w:pgMar w:top="992" w:right="1077" w:bottom="1701" w:left="1077" w:header="567" w:footer="8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65607" w14:textId="77777777" w:rsidR="00D24D6A" w:rsidRDefault="00D24D6A" w:rsidP="00626EDA">
      <w:r>
        <w:separator/>
      </w:r>
    </w:p>
  </w:endnote>
  <w:endnote w:type="continuationSeparator" w:id="0">
    <w:p w14:paraId="70BC0DB3" w14:textId="77777777" w:rsidR="00D24D6A" w:rsidRDefault="00D24D6A"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winkl Cursive Looped">
    <w:altName w:val="Calibri"/>
    <w:charset w:val="00"/>
    <w:family w:val="auto"/>
    <w:pitch w:val="variable"/>
    <w:sig w:usb0="0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06136" w14:textId="77777777" w:rsidR="00FE3F15" w:rsidRPr="00512916" w:rsidRDefault="00874C73" w:rsidP="006F569D">
    <w:pPr>
      <w:pStyle w:val="Footer"/>
      <w:rPr>
        <w:noProof/>
      </w:rPr>
    </w:pPr>
    <w:r w:rsidRPr="00874C73">
      <w:rPr>
        <w:color w:val="auto"/>
      </w:rPr>
      <w:t>Page</w:t>
    </w:r>
    <w:r w:rsidRPr="00874C73">
      <w:rPr>
        <w:b/>
      </w:rP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97926">
      <w:rPr>
        <w:noProof/>
        <w:color w:val="auto"/>
      </w:rPr>
      <w:t>1</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4A0BF1DD" w14:textId="77777777" w:rsidTr="001235FA">
      <w:tc>
        <w:tcPr>
          <w:tcW w:w="6379" w:type="dxa"/>
          <w:shd w:val="clear" w:color="auto" w:fill="auto"/>
        </w:tcPr>
        <w:p w14:paraId="73B37F94"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48323AF0"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474A7B9C"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744C5" w14:textId="77777777" w:rsidR="00D24D6A" w:rsidRDefault="00D24D6A" w:rsidP="00626EDA">
      <w:r>
        <w:separator/>
      </w:r>
    </w:p>
  </w:footnote>
  <w:footnote w:type="continuationSeparator" w:id="0">
    <w:p w14:paraId="3464CFE5" w14:textId="77777777" w:rsidR="00D24D6A" w:rsidRDefault="00D24D6A"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619DD" w14:textId="77777777" w:rsidR="00FE3F15" w:rsidRDefault="00C1111A">
    <w:r>
      <w:rPr>
        <w:noProof/>
        <w:lang w:val="en-GB" w:eastAsia="en-GB"/>
      </w:rPr>
      <w:drawing>
        <wp:anchor distT="0" distB="0" distL="114300" distR="114300" simplePos="0" relativeHeight="251657216" behindDoc="1" locked="0" layoutInCell="1" allowOverlap="1" wp14:anchorId="09270B7A" wp14:editId="39F005F6">
          <wp:simplePos x="0" y="0"/>
          <wp:positionH relativeFrom="margin">
            <wp:align>center</wp:align>
          </wp:positionH>
          <wp:positionV relativeFrom="margin">
            <wp:align>center</wp:align>
          </wp:positionV>
          <wp:extent cx="7558405" cy="10695940"/>
          <wp:effectExtent l="0" t="0" r="0" b="0"/>
          <wp:wrapNone/>
          <wp:docPr id="7"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D24D6A">
      <w:rPr>
        <w:noProof/>
      </w:rPr>
      <w:pict w14:anchorId="48218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D8615" w14:textId="77777777" w:rsidR="00FE3F15" w:rsidRDefault="00FE3F15"/>
  <w:p w14:paraId="3B0D7918" w14:textId="77777777" w:rsidR="00FE3F15" w:rsidRDefault="00FE3F15"/>
  <w:p w14:paraId="0EEB60AB"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3DD5E" w14:textId="77777777" w:rsidR="00FE3F15" w:rsidRDefault="00FE3F15"/>
  <w:p w14:paraId="291036E4"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379" type="#_x0000_t75" style="width:36pt;height:30pt" o:bullet="t">
        <v:imagedata r:id="rId1" o:title="Tick"/>
      </v:shape>
    </w:pict>
  </w:numPicBullet>
  <w:numPicBullet w:numPicBulletId="1">
    <w:pict>
      <v:shape id="_x0000_i3380" type="#_x0000_t75" style="width:30pt;height:30pt" o:bullet="t">
        <v:imagedata r:id="rId2" o:title="Cross"/>
      </v:shape>
    </w:pict>
  </w:numPicBullet>
  <w:numPicBullet w:numPicBulletId="2">
    <w:pict>
      <v:shape id="_x0000_i3381" type="#_x0000_t75" style="width:209.25pt;height:332.25pt" o:bullet="t">
        <v:imagedata r:id="rId3" o:title="art1EF6"/>
      </v:shape>
    </w:pict>
  </w:numPicBullet>
  <w:numPicBullet w:numPicBulletId="3">
    <w:pict>
      <v:shape id="_x0000_i3382" type="#_x0000_t75" style="width:209.25pt;height:332.25pt" o:bullet="t">
        <v:imagedata r:id="rId4" o:title="TK_LOGO_POINTER_RGB_bullet_blue"/>
      </v:shape>
    </w:pict>
  </w:numPicBullet>
  <w:numPicBullet w:numPicBulletId="4">
    <w:pict>
      <v:shape id="_x0000_i3383" type="#_x0000_t75" style="width:567pt;height:903.75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CD73B22"/>
    <w:multiLevelType w:val="multilevel"/>
    <w:tmpl w:val="8112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726E3F"/>
    <w:multiLevelType w:val="multilevel"/>
    <w:tmpl w:val="6780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E3558A"/>
    <w:multiLevelType w:val="hybridMultilevel"/>
    <w:tmpl w:val="9A38F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914B42"/>
    <w:multiLevelType w:val="hybridMultilevel"/>
    <w:tmpl w:val="C3F4F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951EB8"/>
    <w:multiLevelType w:val="hybridMultilevel"/>
    <w:tmpl w:val="41BAF8A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0" w15:restartNumberingAfterBreak="0">
    <w:nsid w:val="45A80425"/>
    <w:multiLevelType w:val="hybridMultilevel"/>
    <w:tmpl w:val="7C347DD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F11015"/>
    <w:multiLevelType w:val="hybridMultilevel"/>
    <w:tmpl w:val="462EA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5"/>
  </w:num>
  <w:num w:numId="2">
    <w:abstractNumId w:val="2"/>
  </w:num>
  <w:num w:numId="3">
    <w:abstractNumId w:val="12"/>
  </w:num>
  <w:num w:numId="4">
    <w:abstractNumId w:val="16"/>
  </w:num>
  <w:num w:numId="5">
    <w:abstractNumId w:val="0"/>
  </w:num>
  <w:num w:numId="6">
    <w:abstractNumId w:val="5"/>
  </w:num>
  <w:num w:numId="7">
    <w:abstractNumId w:val="1"/>
  </w:num>
  <w:num w:numId="8">
    <w:abstractNumId w:val="3"/>
  </w:num>
  <w:num w:numId="9">
    <w:abstractNumId w:val="17"/>
  </w:num>
  <w:num w:numId="10">
    <w:abstractNumId w:val="12"/>
  </w:num>
  <w:num w:numId="11">
    <w:abstractNumId w:val="2"/>
  </w:num>
  <w:num w:numId="12">
    <w:abstractNumId w:val="17"/>
  </w:num>
  <w:num w:numId="13">
    <w:abstractNumId w:val="15"/>
  </w:num>
  <w:num w:numId="14">
    <w:abstractNumId w:val="16"/>
  </w:num>
  <w:num w:numId="15">
    <w:abstractNumId w:val="1"/>
  </w:num>
  <w:num w:numId="16">
    <w:abstractNumId w:val="3"/>
  </w:num>
  <w:num w:numId="17">
    <w:abstractNumId w:val="16"/>
  </w:num>
  <w:num w:numId="18">
    <w:abstractNumId w:val="11"/>
  </w:num>
  <w:num w:numId="19">
    <w:abstractNumId w:val="14"/>
  </w:num>
  <w:num w:numId="20">
    <w:abstractNumId w:val="18"/>
  </w:num>
  <w:num w:numId="21">
    <w:abstractNumId w:val="6"/>
  </w:num>
  <w:num w:numId="22">
    <w:abstractNumId w:val="4"/>
  </w:num>
  <w:num w:numId="23">
    <w:abstractNumId w:val="7"/>
  </w:num>
  <w:num w:numId="24">
    <w:abstractNumId w:val="13"/>
  </w:num>
  <w:num w:numId="25">
    <w:abstractNumId w:val="10"/>
  </w:num>
  <w:num w:numId="26">
    <w:abstractNumId w:val="9"/>
  </w:num>
  <w:num w:numId="2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F0"/>
    <w:rsid w:val="00015B1A"/>
    <w:rsid w:val="0002254B"/>
    <w:rsid w:val="00026691"/>
    <w:rsid w:val="00082050"/>
    <w:rsid w:val="000A569F"/>
    <w:rsid w:val="000B2CE7"/>
    <w:rsid w:val="000B77E5"/>
    <w:rsid w:val="000D6968"/>
    <w:rsid w:val="000F32DE"/>
    <w:rsid w:val="000F5932"/>
    <w:rsid w:val="001201E4"/>
    <w:rsid w:val="001235FA"/>
    <w:rsid w:val="001357C9"/>
    <w:rsid w:val="001566F2"/>
    <w:rsid w:val="0017045F"/>
    <w:rsid w:val="001714F0"/>
    <w:rsid w:val="001978C4"/>
    <w:rsid w:val="001B2301"/>
    <w:rsid w:val="001E3CA3"/>
    <w:rsid w:val="001F2B16"/>
    <w:rsid w:val="00235450"/>
    <w:rsid w:val="00275D5E"/>
    <w:rsid w:val="002E16E7"/>
    <w:rsid w:val="002E3705"/>
    <w:rsid w:val="002E5D89"/>
    <w:rsid w:val="002F4E11"/>
    <w:rsid w:val="003365A2"/>
    <w:rsid w:val="00372F45"/>
    <w:rsid w:val="00375061"/>
    <w:rsid w:val="00377808"/>
    <w:rsid w:val="00377FFC"/>
    <w:rsid w:val="003B2EB4"/>
    <w:rsid w:val="003C1D02"/>
    <w:rsid w:val="003D4E0B"/>
    <w:rsid w:val="003F2BD9"/>
    <w:rsid w:val="003F6230"/>
    <w:rsid w:val="00411BE9"/>
    <w:rsid w:val="00430916"/>
    <w:rsid w:val="0046077F"/>
    <w:rsid w:val="00465755"/>
    <w:rsid w:val="004750A7"/>
    <w:rsid w:val="00492175"/>
    <w:rsid w:val="004944EE"/>
    <w:rsid w:val="004B05BB"/>
    <w:rsid w:val="004B3C9A"/>
    <w:rsid w:val="004F463D"/>
    <w:rsid w:val="00510ED3"/>
    <w:rsid w:val="00512916"/>
    <w:rsid w:val="00531C8C"/>
    <w:rsid w:val="00540121"/>
    <w:rsid w:val="00543D26"/>
    <w:rsid w:val="00564CD3"/>
    <w:rsid w:val="00573834"/>
    <w:rsid w:val="00584A10"/>
    <w:rsid w:val="00590890"/>
    <w:rsid w:val="00597926"/>
    <w:rsid w:val="00597ED1"/>
    <w:rsid w:val="005B1D35"/>
    <w:rsid w:val="005B3CA6"/>
    <w:rsid w:val="005B4650"/>
    <w:rsid w:val="005B7ADF"/>
    <w:rsid w:val="0062626B"/>
    <w:rsid w:val="00626EDA"/>
    <w:rsid w:val="006700ED"/>
    <w:rsid w:val="00671FE5"/>
    <w:rsid w:val="00680CD2"/>
    <w:rsid w:val="0069454D"/>
    <w:rsid w:val="006E0F66"/>
    <w:rsid w:val="006F569D"/>
    <w:rsid w:val="006F7E8A"/>
    <w:rsid w:val="00701C8C"/>
    <w:rsid w:val="007070A1"/>
    <w:rsid w:val="00715DD1"/>
    <w:rsid w:val="007239F8"/>
    <w:rsid w:val="0072620F"/>
    <w:rsid w:val="00735B7D"/>
    <w:rsid w:val="00740AC8"/>
    <w:rsid w:val="007846B3"/>
    <w:rsid w:val="00785BEE"/>
    <w:rsid w:val="007A03B3"/>
    <w:rsid w:val="007A7E05"/>
    <w:rsid w:val="007C5AC9"/>
    <w:rsid w:val="007D268D"/>
    <w:rsid w:val="007E217D"/>
    <w:rsid w:val="007E6128"/>
    <w:rsid w:val="007F2F4C"/>
    <w:rsid w:val="007F788B"/>
    <w:rsid w:val="00803CB9"/>
    <w:rsid w:val="00805A94"/>
    <w:rsid w:val="0080784C"/>
    <w:rsid w:val="008116A6"/>
    <w:rsid w:val="008472C3"/>
    <w:rsid w:val="00866E39"/>
    <w:rsid w:val="00874C73"/>
    <w:rsid w:val="00877394"/>
    <w:rsid w:val="00887DB6"/>
    <w:rsid w:val="008941E7"/>
    <w:rsid w:val="008C1253"/>
    <w:rsid w:val="008F2ECD"/>
    <w:rsid w:val="008F744A"/>
    <w:rsid w:val="00910426"/>
    <w:rsid w:val="009122BB"/>
    <w:rsid w:val="00934972"/>
    <w:rsid w:val="0099114F"/>
    <w:rsid w:val="009A267F"/>
    <w:rsid w:val="009A448F"/>
    <w:rsid w:val="009B1F2D"/>
    <w:rsid w:val="009C1822"/>
    <w:rsid w:val="009D1474"/>
    <w:rsid w:val="009E331F"/>
    <w:rsid w:val="009F66A8"/>
    <w:rsid w:val="00A30234"/>
    <w:rsid w:val="00A466EE"/>
    <w:rsid w:val="00A477BB"/>
    <w:rsid w:val="00A62B49"/>
    <w:rsid w:val="00A80AA7"/>
    <w:rsid w:val="00A91D2D"/>
    <w:rsid w:val="00AA6E73"/>
    <w:rsid w:val="00AD3666"/>
    <w:rsid w:val="00B03017"/>
    <w:rsid w:val="00B4263C"/>
    <w:rsid w:val="00B5559F"/>
    <w:rsid w:val="00B613DC"/>
    <w:rsid w:val="00B6679E"/>
    <w:rsid w:val="00B66F6B"/>
    <w:rsid w:val="00B81BD0"/>
    <w:rsid w:val="00B846C2"/>
    <w:rsid w:val="00B95F60"/>
    <w:rsid w:val="00BE27AF"/>
    <w:rsid w:val="00BE3E54"/>
    <w:rsid w:val="00BE4C8E"/>
    <w:rsid w:val="00C03F46"/>
    <w:rsid w:val="00C1111A"/>
    <w:rsid w:val="00C31397"/>
    <w:rsid w:val="00C4589F"/>
    <w:rsid w:val="00C4731F"/>
    <w:rsid w:val="00C51C6A"/>
    <w:rsid w:val="00C8314B"/>
    <w:rsid w:val="00C91F46"/>
    <w:rsid w:val="00CC51B6"/>
    <w:rsid w:val="00CC563E"/>
    <w:rsid w:val="00CD23C4"/>
    <w:rsid w:val="00CD2BC6"/>
    <w:rsid w:val="00CE5BBF"/>
    <w:rsid w:val="00CF553F"/>
    <w:rsid w:val="00D11C7E"/>
    <w:rsid w:val="00D24D6A"/>
    <w:rsid w:val="00D30823"/>
    <w:rsid w:val="00D508B4"/>
    <w:rsid w:val="00D86752"/>
    <w:rsid w:val="00D95FA0"/>
    <w:rsid w:val="00DA43DE"/>
    <w:rsid w:val="00DA5725"/>
    <w:rsid w:val="00DA7F11"/>
    <w:rsid w:val="00DC28D6"/>
    <w:rsid w:val="00DC4C0F"/>
    <w:rsid w:val="00DC5FAC"/>
    <w:rsid w:val="00DF66B4"/>
    <w:rsid w:val="00E00085"/>
    <w:rsid w:val="00E24FDF"/>
    <w:rsid w:val="00E3210F"/>
    <w:rsid w:val="00E36879"/>
    <w:rsid w:val="00E606E8"/>
    <w:rsid w:val="00E647DF"/>
    <w:rsid w:val="00E763E4"/>
    <w:rsid w:val="00E82606"/>
    <w:rsid w:val="00E9136B"/>
    <w:rsid w:val="00EC6653"/>
    <w:rsid w:val="00EF22F0"/>
    <w:rsid w:val="00EF631F"/>
    <w:rsid w:val="00F02A4E"/>
    <w:rsid w:val="00F06022"/>
    <w:rsid w:val="00F139E0"/>
    <w:rsid w:val="00F50650"/>
    <w:rsid w:val="00F519DC"/>
    <w:rsid w:val="00F82220"/>
    <w:rsid w:val="00F84228"/>
    <w:rsid w:val="00F9563C"/>
    <w:rsid w:val="00F97695"/>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5B2FCC"/>
  <w15:chartTrackingRefBased/>
  <w15:docId w15:val="{B8DB8176-A1A8-48B1-9693-FD273F1D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1bodycopy">
    <w:name w:val="1 body copy"/>
    <w:basedOn w:val="Normal"/>
    <w:link w:val="1bodycopyChar"/>
    <w:qFormat/>
    <w:rsid w:val="00F50650"/>
  </w:style>
  <w:style w:type="character" w:customStyle="1" w:styleId="1bodycopyChar">
    <w:name w:val="1 body copy Char"/>
    <w:link w:val="1bodycopy"/>
    <w:rsid w:val="00F50650"/>
    <w:rPr>
      <w:rFonts w:eastAsia="MS Mincho"/>
      <w:szCs w:val="24"/>
      <w:lang w:val="en-US" w:eastAsia="en-US"/>
    </w:rPr>
  </w:style>
  <w:style w:type="paragraph" w:customStyle="1" w:styleId="3Bulletedcopyblue">
    <w:name w:val="3 Bulleted copy blue"/>
    <w:basedOn w:val="Normal"/>
    <w:qFormat/>
    <w:rsid w:val="00F50650"/>
    <w:pPr>
      <w:numPr>
        <w:numId w:val="20"/>
      </w:numPr>
    </w:pPr>
    <w:rPr>
      <w:rFonts w:cs="Arial"/>
      <w:szCs w:val="20"/>
    </w:rPr>
  </w:style>
  <w:style w:type="paragraph" w:styleId="NormalWeb">
    <w:name w:val="Normal (Web)"/>
    <w:basedOn w:val="Normal"/>
    <w:uiPriority w:val="99"/>
    <w:semiHidden/>
    <w:unhideWhenUsed/>
    <w:rsid w:val="00934972"/>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002584852">
      <w:bodyDiv w:val="1"/>
      <w:marLeft w:val="0"/>
      <w:marRight w:val="0"/>
      <w:marTop w:val="0"/>
      <w:marBottom w:val="0"/>
      <w:divBdr>
        <w:top w:val="none" w:sz="0" w:space="0" w:color="auto"/>
        <w:left w:val="none" w:sz="0" w:space="0" w:color="auto"/>
        <w:bottom w:val="none" w:sz="0" w:space="0" w:color="auto"/>
        <w:right w:val="none" w:sz="0" w:space="0" w:color="auto"/>
      </w:divBdr>
    </w:div>
    <w:div w:id="1294752909">
      <w:bodyDiv w:val="1"/>
      <w:marLeft w:val="0"/>
      <w:marRight w:val="0"/>
      <w:marTop w:val="0"/>
      <w:marBottom w:val="0"/>
      <w:divBdr>
        <w:top w:val="none" w:sz="0" w:space="0" w:color="auto"/>
        <w:left w:val="none" w:sz="0" w:space="0" w:color="auto"/>
        <w:bottom w:val="none" w:sz="0" w:space="0" w:color="auto"/>
        <w:right w:val="none" w:sz="0" w:space="0" w:color="auto"/>
      </w:divBdr>
    </w:div>
    <w:div w:id="1497067319">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20738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17/16/section/34/enacte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7.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jpg"/><Relationship Id="rId5" Type="http://schemas.openxmlformats.org/officeDocument/2006/relationships/numbering" Target="numbering.xml"/><Relationship Id="rId15" Type="http://schemas.openxmlformats.org/officeDocument/2006/relationships/hyperlink" Target="https://www.batleyparishprimary.co.uk/curriculum/pshe"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relationships-education-relationships-and-sex-education-rse-and-health-educatio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1974dc-2e07-424e-b905-015e91a20429">
      <Terms xmlns="http://schemas.microsoft.com/office/infopath/2007/PartnerControls"/>
    </lcf76f155ced4ddcb4097134ff3c332f>
    <TaxCatchAll xmlns="cac0b6df-6ad7-4fc1-839b-87c709e8a2e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2C323F33089D4293B1D14C3E2798AF" ma:contentTypeVersion="11" ma:contentTypeDescription="Create a new document." ma:contentTypeScope="" ma:versionID="084fdfefab60ee5e5c1695ec9f94bb0d">
  <xsd:schema xmlns:xsd="http://www.w3.org/2001/XMLSchema" xmlns:xs="http://www.w3.org/2001/XMLSchema" xmlns:p="http://schemas.microsoft.com/office/2006/metadata/properties" xmlns:ns2="171974dc-2e07-424e-b905-015e91a20429" xmlns:ns3="cac0b6df-6ad7-4fc1-839b-87c709e8a2ec" targetNamespace="http://schemas.microsoft.com/office/2006/metadata/properties" ma:root="true" ma:fieldsID="9faf2710440ef6908958e87eaf80df26" ns2:_="" ns3:_="">
    <xsd:import namespace="171974dc-2e07-424e-b905-015e91a20429"/>
    <xsd:import namespace="cac0b6df-6ad7-4fc1-839b-87c709e8a2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974dc-2e07-424e-b905-015e91a204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d71555c-1711-4142-ad9f-cf1945a83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c0b6df-6ad7-4fc1-839b-87c709e8a2e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a623e5-cd83-4f80-974a-87e3a1b1f921}" ma:internalName="TaxCatchAll" ma:showField="CatchAllData" ma:web="cac0b6df-6ad7-4fc1-839b-87c709e8a2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C45F4-AF36-4469-8CA6-6F89547A7D70}">
  <ds:schemaRefs>
    <ds:schemaRef ds:uri="http://schemas.openxmlformats.org/officeDocument/2006/bibliography"/>
  </ds:schemaRefs>
</ds:datastoreItem>
</file>

<file path=customXml/itemProps2.xml><?xml version="1.0" encoding="utf-8"?>
<ds:datastoreItem xmlns:ds="http://schemas.openxmlformats.org/officeDocument/2006/customXml" ds:itemID="{B5717DE3-AEF3-4FEC-B5B2-9AF681EB89A1}">
  <ds:schemaRefs>
    <ds:schemaRef ds:uri="http://schemas.microsoft.com/sharepoint/v3/contenttype/forms"/>
  </ds:schemaRefs>
</ds:datastoreItem>
</file>

<file path=customXml/itemProps3.xml><?xml version="1.0" encoding="utf-8"?>
<ds:datastoreItem xmlns:ds="http://schemas.openxmlformats.org/officeDocument/2006/customXml" ds:itemID="{8C799F86-3B0D-4F09-9292-F4E1FEF121DD}">
  <ds:schemaRefs>
    <ds:schemaRef ds:uri="http://schemas.microsoft.com/office/2006/metadata/properties"/>
    <ds:schemaRef ds:uri="http://schemas.microsoft.com/office/infopath/2007/PartnerControls"/>
    <ds:schemaRef ds:uri="171974dc-2e07-424e-b905-015e91a20429"/>
    <ds:schemaRef ds:uri="cac0b6df-6ad7-4fc1-839b-87c709e8a2ec"/>
  </ds:schemaRefs>
</ds:datastoreItem>
</file>

<file path=customXml/itemProps4.xml><?xml version="1.0" encoding="utf-8"?>
<ds:datastoreItem xmlns:ds="http://schemas.openxmlformats.org/officeDocument/2006/customXml" ds:itemID="{784AFC7D-FD85-41C4-B254-858D73A04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974dc-2e07-424e-b905-015e91a20429"/>
    <ds:schemaRef ds:uri="cac0b6df-6ad7-4fc1-839b-87c709e8a2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8516</CharactersWithSpaces>
  <SharedDoc>false</SharedDoc>
  <HLinks>
    <vt:vector size="78" baseType="variant">
      <vt:variant>
        <vt:i4>7274531</vt:i4>
      </vt:variant>
      <vt:variant>
        <vt:i4>51</vt:i4>
      </vt:variant>
      <vt:variant>
        <vt:i4>0</vt:i4>
      </vt:variant>
      <vt:variant>
        <vt:i4>5</vt:i4>
      </vt:variant>
      <vt:variant>
        <vt:lpwstr>https://www.gov.uk/government/publications/relationships-education-relationships-and-sex-education-rse-and-health-education</vt:lpwstr>
      </vt:variant>
      <vt:variant>
        <vt:lpwstr/>
      </vt:variant>
      <vt:variant>
        <vt:i4>7143550</vt:i4>
      </vt:variant>
      <vt:variant>
        <vt:i4>48</vt:i4>
      </vt:variant>
      <vt:variant>
        <vt:i4>0</vt:i4>
      </vt:variant>
      <vt:variant>
        <vt:i4>5</vt:i4>
      </vt:variant>
      <vt:variant>
        <vt:lpwstr>https://www.legislation.gov.uk/ukpga/2017/16/section/34</vt:lpwstr>
      </vt:variant>
      <vt:variant>
        <vt:lpwstr/>
      </vt:variant>
      <vt:variant>
        <vt:i4>7274531</vt:i4>
      </vt:variant>
      <vt:variant>
        <vt:i4>45</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42</vt:i4>
      </vt:variant>
      <vt:variant>
        <vt:i4>0</vt:i4>
      </vt:variant>
      <vt:variant>
        <vt:i4>5</vt:i4>
      </vt:variant>
      <vt:variant>
        <vt:lpwstr>http://www.legislation.gov.uk/ukpga/2017/16/section/34/enacted</vt:lpwstr>
      </vt:variant>
      <vt:variant>
        <vt:lpwstr/>
      </vt:variant>
      <vt:variant>
        <vt:i4>1114173</vt:i4>
      </vt:variant>
      <vt:variant>
        <vt:i4>35</vt:i4>
      </vt:variant>
      <vt:variant>
        <vt:i4>0</vt:i4>
      </vt:variant>
      <vt:variant>
        <vt:i4>5</vt:i4>
      </vt:variant>
      <vt:variant>
        <vt:lpwstr/>
      </vt:variant>
      <vt:variant>
        <vt:lpwstr>_Toc91163061</vt:lpwstr>
      </vt:variant>
      <vt:variant>
        <vt:i4>1048637</vt:i4>
      </vt:variant>
      <vt:variant>
        <vt:i4>29</vt:i4>
      </vt:variant>
      <vt:variant>
        <vt:i4>0</vt:i4>
      </vt:variant>
      <vt:variant>
        <vt:i4>5</vt:i4>
      </vt:variant>
      <vt:variant>
        <vt:lpwstr/>
      </vt:variant>
      <vt:variant>
        <vt:lpwstr>_Toc91163060</vt:lpwstr>
      </vt:variant>
      <vt:variant>
        <vt:i4>1638462</vt:i4>
      </vt:variant>
      <vt:variant>
        <vt:i4>23</vt:i4>
      </vt:variant>
      <vt:variant>
        <vt:i4>0</vt:i4>
      </vt:variant>
      <vt:variant>
        <vt:i4>5</vt:i4>
      </vt:variant>
      <vt:variant>
        <vt:lpwstr/>
      </vt:variant>
      <vt:variant>
        <vt:lpwstr>_Toc91163059</vt:lpwstr>
      </vt:variant>
      <vt:variant>
        <vt:i4>1572926</vt:i4>
      </vt:variant>
      <vt:variant>
        <vt:i4>17</vt:i4>
      </vt:variant>
      <vt:variant>
        <vt:i4>0</vt:i4>
      </vt:variant>
      <vt:variant>
        <vt:i4>5</vt:i4>
      </vt:variant>
      <vt:variant>
        <vt:lpwstr/>
      </vt:variant>
      <vt:variant>
        <vt:lpwstr>_Toc91163058</vt:lpwstr>
      </vt:variant>
      <vt:variant>
        <vt:i4>1507390</vt:i4>
      </vt:variant>
      <vt:variant>
        <vt:i4>11</vt:i4>
      </vt:variant>
      <vt:variant>
        <vt:i4>0</vt:i4>
      </vt:variant>
      <vt:variant>
        <vt:i4>5</vt:i4>
      </vt:variant>
      <vt:variant>
        <vt:lpwstr/>
      </vt:variant>
      <vt:variant>
        <vt:lpwstr>_Toc91163057</vt:lpwstr>
      </vt:variant>
      <vt:variant>
        <vt:i4>1441854</vt:i4>
      </vt:variant>
      <vt:variant>
        <vt:i4>5</vt:i4>
      </vt:variant>
      <vt:variant>
        <vt:i4>0</vt:i4>
      </vt:variant>
      <vt:variant>
        <vt:i4>5</vt:i4>
      </vt:variant>
      <vt:variant>
        <vt:lpwstr/>
      </vt:variant>
      <vt:variant>
        <vt:lpwstr>_Toc91163056</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Louise Sennett</cp:lastModifiedBy>
  <cp:revision>2</cp:revision>
  <cp:lastPrinted>2018-10-02T14:43:00Z</cp:lastPrinted>
  <dcterms:created xsi:type="dcterms:W3CDTF">2025-06-08T20:20:00Z</dcterms:created>
  <dcterms:modified xsi:type="dcterms:W3CDTF">2025-06-08T20:20:00Z</dcterms:modified>
</cp:coreProperties>
</file>